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166"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color="auto"/>
          <w:lang w:eastAsia="zh-CN"/>
        </w:rPr>
        <w:t>融水苗族自治县</w:t>
      </w:r>
      <w:r>
        <w:rPr>
          <w:rFonts w:hint="eastAsia" w:ascii="方正小标宋简体" w:hAnsi="方正小标宋简体" w:eastAsia="方正小标宋简体" w:cs="方正小标宋简体"/>
          <w:spacing w:val="-2"/>
          <w:sz w:val="44"/>
          <w:szCs w:val="44"/>
        </w:rPr>
        <w:t>市场监督管理局</w:t>
      </w:r>
    </w:p>
    <w:p>
      <w:pPr>
        <w:spacing w:before="2" w:line="204"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行政处罚决定书</w:t>
      </w:r>
    </w:p>
    <w:p>
      <w:pPr>
        <w:tabs>
          <w:tab w:val="left" w:pos="2725"/>
        </w:tabs>
        <w:spacing w:before="31" w:line="185" w:lineRule="auto"/>
        <w:jc w:val="center"/>
        <w:rPr>
          <w:rFonts w:hint="eastAsia" w:ascii="方正小标宋简体" w:hAnsi="方正小标宋简体" w:eastAsia="方正小标宋简体" w:cs="方正小标宋简体"/>
          <w:spacing w:val="-7"/>
          <w:sz w:val="28"/>
          <w:szCs w:val="28"/>
        </w:rPr>
      </w:pPr>
      <w:r>
        <w:rPr>
          <w:rFonts w:hint="eastAsia" w:ascii="方正小标宋简体" w:hAnsi="方正小标宋简体" w:eastAsia="方正小标宋简体" w:cs="方正小标宋简体"/>
          <w:spacing w:val="-7"/>
          <w:sz w:val="28"/>
          <w:szCs w:val="28"/>
          <w:lang w:eastAsia="zh-CN"/>
        </w:rPr>
        <w:t>融</w:t>
      </w:r>
      <w:r>
        <w:rPr>
          <w:rFonts w:hint="eastAsia" w:ascii="方正小标宋简体" w:hAnsi="方正小标宋简体" w:eastAsia="方正小标宋简体" w:cs="方正小标宋简体"/>
          <w:spacing w:val="-7"/>
          <w:sz w:val="28"/>
          <w:szCs w:val="28"/>
        </w:rPr>
        <w:t>市监处罚〔</w:t>
      </w:r>
      <w:r>
        <w:rPr>
          <w:rFonts w:hint="eastAsia" w:ascii="方正小标宋简体" w:hAnsi="方正小标宋简体" w:eastAsia="方正小标宋简体" w:cs="方正小标宋简体"/>
          <w:spacing w:val="-7"/>
          <w:sz w:val="28"/>
          <w:szCs w:val="28"/>
          <w:lang w:val="en-US" w:eastAsia="zh-CN"/>
        </w:rPr>
        <w:t>2021</w:t>
      </w:r>
      <w:r>
        <w:rPr>
          <w:rFonts w:hint="eastAsia" w:ascii="方正小标宋简体" w:hAnsi="方正小标宋简体" w:eastAsia="方正小标宋简体" w:cs="方正小标宋简体"/>
          <w:spacing w:val="-7"/>
          <w:sz w:val="28"/>
          <w:szCs w:val="28"/>
        </w:rPr>
        <w:t>〕</w:t>
      </w:r>
      <w:r>
        <w:rPr>
          <w:rFonts w:hint="eastAsia" w:ascii="方正小标宋简体" w:hAnsi="方正小标宋简体" w:eastAsia="方正小标宋简体" w:cs="方正小标宋简体"/>
          <w:spacing w:val="-7"/>
          <w:sz w:val="28"/>
          <w:szCs w:val="28"/>
          <w:lang w:val="en-US" w:eastAsia="zh-CN"/>
        </w:rPr>
        <w:t>201</w:t>
      </w:r>
      <w:r>
        <w:rPr>
          <w:rFonts w:hint="eastAsia" w:ascii="方正小标宋简体" w:hAnsi="方正小标宋简体" w:eastAsia="方正小标宋简体" w:cs="方正小标宋简体"/>
          <w:spacing w:val="-7"/>
          <w:sz w:val="28"/>
          <w:szCs w:val="28"/>
        </w:rPr>
        <w:t>号</w:t>
      </w:r>
    </w:p>
    <w:p>
      <w:pPr>
        <w:tabs>
          <w:tab w:val="left" w:pos="2725"/>
        </w:tabs>
        <w:spacing w:before="31" w:line="185" w:lineRule="auto"/>
        <w:jc w:val="center"/>
        <w:rPr>
          <w:rFonts w:hint="eastAsia" w:ascii="方正小标宋简体" w:hAnsi="方正小标宋简体" w:eastAsia="方正小标宋简体" w:cs="方正小标宋简体"/>
          <w:spacing w:val="-7"/>
          <w:sz w:val="28"/>
          <w:szCs w:val="28"/>
        </w:rPr>
      </w:pPr>
    </w:p>
    <w:p>
      <w:pPr>
        <w:keepNext w:val="0"/>
        <w:keepLines w:val="0"/>
        <w:pageBreakBefore w:val="0"/>
        <w:wordWrap/>
        <w:overflowPunct/>
        <w:topLinePunct w:val="0"/>
        <w:bidi w:val="0"/>
        <w:adjustRightInd w:val="0"/>
        <w:spacing w:before="105" w:line="420" w:lineRule="exact"/>
        <w:ind w:left="1140" w:right="16" w:hanging="1140" w:hangingChars="500"/>
        <w:textAlignment w:val="baseline"/>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pacing w:val="-28"/>
          <w:w w:val="89"/>
          <w:sz w:val="32"/>
          <w:szCs w:val="32"/>
        </w:rPr>
        <w:t>当事人：</w:t>
      </w:r>
      <w:r>
        <w:rPr>
          <w:rFonts w:hint="eastAsia" w:ascii="仿宋_GB2312" w:hAnsi="仿宋_GB2312" w:eastAsia="仿宋_GB2312" w:cs="仿宋_GB2312"/>
          <w:color w:val="auto"/>
          <w:spacing w:val="-31"/>
          <w:sz w:val="32"/>
          <w:szCs w:val="32"/>
          <w:lang w:eastAsia="zh-CN"/>
        </w:rPr>
        <w:t>融水保康医疗诊所</w:t>
      </w:r>
    </w:p>
    <w:p>
      <w:pPr>
        <w:keepNext w:val="0"/>
        <w:keepLines w:val="0"/>
        <w:pageBreakBefore w:val="0"/>
        <w:widowControl/>
        <w:tabs>
          <w:tab w:val="left" w:pos="4380"/>
        </w:tabs>
        <w:kinsoku w:val="0"/>
        <w:wordWrap/>
        <w:overflowPunct/>
        <w:topLinePunct w:val="0"/>
        <w:autoSpaceDE w:val="0"/>
        <w:autoSpaceDN w:val="0"/>
        <w:bidi w:val="0"/>
        <w:adjustRightInd w:val="0"/>
        <w:snapToGrid w:val="0"/>
        <w:spacing w:before="105" w:line="500" w:lineRule="exact"/>
        <w:ind w:right="0"/>
        <w:textAlignment w:val="baseline"/>
        <w:rPr>
          <w:rFonts w:hint="eastAsia" w:ascii="仿宋_GB2312" w:hAnsi="仿宋_GB2312" w:eastAsia="仿宋_GB2312" w:cs="仿宋_GB2312"/>
          <w:color w:val="auto"/>
          <w:spacing w:val="1"/>
          <w:sz w:val="32"/>
          <w:szCs w:val="32"/>
          <w:u w:val="single" w:color="auto"/>
          <w:lang w:eastAsia="zh-CN"/>
        </w:rPr>
      </w:pPr>
      <w:r>
        <w:rPr>
          <w:rFonts w:hint="eastAsia" w:ascii="仿宋_GB2312" w:hAnsi="仿宋_GB2312" w:eastAsia="仿宋_GB2312" w:cs="仿宋_GB2312"/>
          <w:color w:val="auto"/>
          <w:spacing w:val="-28"/>
          <w:sz w:val="32"/>
          <w:szCs w:val="32"/>
        </w:rPr>
        <w:t>主体资格证照名称：</w:t>
      </w:r>
      <w:r>
        <w:rPr>
          <w:rFonts w:hint="eastAsia" w:ascii="仿宋_GB2312" w:hAnsi="仿宋_GB2312" w:eastAsia="仿宋_GB2312" w:cs="仿宋_GB2312"/>
          <w:color w:val="auto"/>
          <w:spacing w:val="-31"/>
          <w:sz w:val="32"/>
          <w:szCs w:val="32"/>
          <w:lang w:eastAsia="zh-CN"/>
        </w:rPr>
        <w:t>《营业执照》</w:t>
      </w:r>
    </w:p>
    <w:p>
      <w:pPr>
        <w:keepNext w:val="0"/>
        <w:keepLines w:val="0"/>
        <w:pageBreakBefore w:val="0"/>
        <w:wordWrap/>
        <w:overflowPunct/>
        <w:topLinePunct w:val="0"/>
        <w:bidi w:val="0"/>
        <w:adjustRightInd w:val="0"/>
        <w:spacing w:before="105" w:line="420" w:lineRule="exact"/>
        <w:ind w:right="16"/>
        <w:textAlignment w:val="baseline"/>
        <w:rPr>
          <w:rFonts w:hint="eastAsia" w:ascii="仿宋_GB2312" w:hAnsi="仿宋_GB2312" w:eastAsia="仿宋_GB2312" w:cs="仿宋_GB2312"/>
          <w:color w:val="auto"/>
          <w:spacing w:val="1"/>
          <w:sz w:val="32"/>
          <w:szCs w:val="32"/>
          <w:u w:val="none" w:color="auto"/>
        </w:rPr>
      </w:pPr>
      <w:r>
        <w:rPr>
          <w:rFonts w:hint="eastAsia" w:ascii="仿宋_GB2312" w:hAnsi="仿宋_GB2312" w:eastAsia="仿宋_GB2312" w:cs="仿宋_GB2312"/>
          <w:color w:val="auto"/>
          <w:spacing w:val="-28"/>
          <w:sz w:val="32"/>
          <w:szCs w:val="32"/>
        </w:rPr>
        <w:t>统一社会信用代码：</w:t>
      </w:r>
      <w:r>
        <w:rPr>
          <w:rFonts w:hint="eastAsia" w:ascii="仿宋_GB2312" w:hAnsi="仿宋_GB2312" w:eastAsia="仿宋_GB2312" w:cs="仿宋_GB2312"/>
          <w:color w:val="auto"/>
          <w:spacing w:val="-31"/>
          <w:sz w:val="32"/>
          <w:szCs w:val="32"/>
          <w:lang w:val="en-US" w:eastAsia="zh-CN"/>
        </w:rPr>
        <w:t>92450225MA5MHTRC8C</w:t>
      </w:r>
      <w:r>
        <w:rPr>
          <w:rFonts w:hint="eastAsia" w:ascii="仿宋_GB2312" w:hAnsi="仿宋_GB2312" w:eastAsia="仿宋_GB2312" w:cs="仿宋_GB2312"/>
          <w:color w:val="auto"/>
          <w:spacing w:val="1"/>
          <w:sz w:val="32"/>
          <w:szCs w:val="32"/>
          <w:u w:val="none" w:color="auto"/>
        </w:rPr>
        <w:t xml:space="preserve">                               </w:t>
      </w:r>
    </w:p>
    <w:p>
      <w:pPr>
        <w:keepNext w:val="0"/>
        <w:keepLines w:val="0"/>
        <w:pageBreakBefore w:val="0"/>
        <w:wordWrap/>
        <w:overflowPunct/>
        <w:topLinePunct w:val="0"/>
        <w:bidi w:val="0"/>
        <w:adjustRightInd w:val="0"/>
        <w:spacing w:before="105" w:line="420" w:lineRule="exact"/>
        <w:ind w:right="16"/>
        <w:textAlignment w:val="baseline"/>
        <w:rPr>
          <w:rFonts w:hint="eastAsia" w:ascii="仿宋_GB2312" w:hAnsi="仿宋_GB2312" w:eastAsia="仿宋_GB2312" w:cs="仿宋_GB2312"/>
          <w:color w:val="auto"/>
          <w:spacing w:val="1"/>
          <w:sz w:val="32"/>
          <w:szCs w:val="32"/>
          <w:u w:val="none" w:color="auto"/>
        </w:rPr>
      </w:pPr>
      <w:r>
        <w:rPr>
          <w:rFonts w:hint="eastAsia" w:ascii="仿宋_GB2312" w:hAnsi="仿宋_GB2312" w:eastAsia="仿宋_GB2312" w:cs="仿宋_GB2312"/>
          <w:color w:val="auto"/>
          <w:spacing w:val="4"/>
          <w:sz w:val="32"/>
          <w:szCs w:val="32"/>
          <w:lang w:eastAsia="zh-CN"/>
        </w:rPr>
        <w:t>经营场所：</w:t>
      </w:r>
      <w:r>
        <w:rPr>
          <w:rFonts w:hint="eastAsia" w:ascii="仿宋_GB2312" w:hAnsi="仿宋_GB2312" w:eastAsia="仿宋_GB2312" w:cs="仿宋_GB2312"/>
          <w:color w:val="auto"/>
          <w:spacing w:val="-31"/>
          <w:sz w:val="32"/>
          <w:szCs w:val="32"/>
          <w:lang w:val="en-US" w:eastAsia="zh-CN"/>
        </w:rPr>
        <w:t>广西柳州市融水县融水镇新兴街******</w:t>
      </w:r>
      <w:r>
        <w:rPr>
          <w:rFonts w:hint="eastAsia" w:ascii="仿宋_GB2312" w:hAnsi="仿宋_GB2312" w:eastAsia="仿宋_GB2312" w:cs="仿宋_GB2312"/>
          <w:color w:val="auto"/>
          <w:spacing w:val="1"/>
          <w:sz w:val="32"/>
          <w:szCs w:val="32"/>
          <w:u w:val="none" w:color="auto"/>
        </w:rPr>
        <w:t xml:space="preserve">  </w:t>
      </w:r>
    </w:p>
    <w:p>
      <w:pPr>
        <w:keepNext w:val="0"/>
        <w:keepLines w:val="0"/>
        <w:pageBreakBefore w:val="0"/>
        <w:wordWrap/>
        <w:overflowPunct/>
        <w:topLinePunct w:val="0"/>
        <w:bidi w:val="0"/>
        <w:adjustRightInd w:val="0"/>
        <w:spacing w:before="105" w:line="420" w:lineRule="exact"/>
        <w:ind w:right="16"/>
        <w:textAlignment w:val="baseline"/>
        <w:rPr>
          <w:rFonts w:hint="eastAsia" w:ascii="仿宋_GB2312" w:hAnsi="仿宋_GB2312" w:eastAsia="仿宋_GB2312" w:cs="仿宋_GB2312"/>
          <w:color w:val="auto"/>
          <w:spacing w:val="21"/>
          <w:sz w:val="32"/>
          <w:szCs w:val="32"/>
        </w:rPr>
      </w:pPr>
      <w:r>
        <w:rPr>
          <w:rFonts w:hint="eastAsia" w:ascii="仿宋_GB2312" w:hAnsi="仿宋_GB2312" w:eastAsia="仿宋_GB2312" w:cs="仿宋_GB2312"/>
          <w:color w:val="auto"/>
          <w:sz w:val="32"/>
          <w:szCs w:val="32"/>
          <w:lang w:eastAsia="zh-CN"/>
        </w:rPr>
        <w:t>经营者：廖顺旭</w:t>
      </w:r>
      <w:r>
        <w:rPr>
          <w:rFonts w:hint="eastAsia" w:ascii="仿宋_GB2312" w:hAnsi="仿宋_GB2312" w:eastAsia="仿宋_GB2312" w:cs="仿宋_GB2312"/>
          <w:color w:val="auto"/>
          <w:spacing w:val="1"/>
          <w:sz w:val="32"/>
          <w:szCs w:val="32"/>
          <w:u w:val="none" w:color="auto"/>
        </w:rPr>
        <w:t xml:space="preserve">                     </w:t>
      </w:r>
      <w:r>
        <w:rPr>
          <w:rFonts w:hint="eastAsia" w:ascii="仿宋_GB2312" w:hAnsi="仿宋_GB2312" w:eastAsia="仿宋_GB2312" w:cs="仿宋_GB2312"/>
          <w:color w:val="auto"/>
          <w:spacing w:val="21"/>
          <w:sz w:val="32"/>
          <w:szCs w:val="32"/>
        </w:rPr>
        <w:t xml:space="preserve"> </w:t>
      </w:r>
    </w:p>
    <w:p>
      <w:pPr>
        <w:keepNext w:val="0"/>
        <w:keepLines w:val="0"/>
        <w:pageBreakBefore w:val="0"/>
        <w:wordWrap/>
        <w:overflowPunct/>
        <w:topLinePunct w:val="0"/>
        <w:bidi w:val="0"/>
        <w:adjustRightInd w:val="0"/>
        <w:spacing w:before="105" w:line="420" w:lineRule="exact"/>
        <w:ind w:right="16"/>
        <w:textAlignment w:val="baseline"/>
        <w:rPr>
          <w:rFonts w:hint="default" w:ascii="仿宋_GB2312" w:hAnsi="仿宋_GB2312" w:eastAsia="仿宋_GB2312" w:cs="仿宋_GB2312"/>
          <w:color w:val="auto"/>
          <w:spacing w:val="-31"/>
          <w:w w:val="98"/>
          <w:sz w:val="32"/>
          <w:szCs w:val="32"/>
          <w:lang w:val="en-US" w:eastAsia="zh-CN"/>
        </w:rPr>
      </w:pPr>
      <w:r>
        <w:rPr>
          <w:rFonts w:hint="eastAsia" w:ascii="仿宋_GB2312" w:hAnsi="仿宋_GB2312" w:eastAsia="仿宋_GB2312" w:cs="仿宋_GB2312"/>
          <w:color w:val="auto"/>
          <w:spacing w:val="-31"/>
          <w:w w:val="98"/>
          <w:sz w:val="32"/>
          <w:szCs w:val="32"/>
        </w:rPr>
        <w:t>身份证件号码：</w:t>
      </w:r>
      <w:r>
        <w:rPr>
          <w:rFonts w:hint="eastAsia" w:ascii="仿宋_GB2312" w:hAnsi="仿宋_GB2312" w:eastAsia="仿宋_GB2312" w:cs="仿宋_GB2312"/>
          <w:color w:val="auto"/>
          <w:spacing w:val="-31"/>
          <w:sz w:val="32"/>
          <w:szCs w:val="32"/>
          <w:lang w:val="en-US" w:eastAsia="zh-CN"/>
        </w:rPr>
        <w:t>4522291974********</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21年11月22日，我局执法人员到广西柳州市融水县融水镇新兴街******</w:t>
      </w:r>
      <w:bookmarkStart w:id="0" w:name="_GoBack"/>
      <w:bookmarkEnd w:id="0"/>
      <w:r>
        <w:rPr>
          <w:rFonts w:hint="eastAsia" w:ascii="仿宋_GB2312" w:hAnsi="仿宋_GB2312" w:eastAsia="仿宋_GB2312" w:cs="仿宋_GB2312"/>
          <w:sz w:val="32"/>
          <w:szCs w:val="32"/>
          <w:lang w:val="en-US" w:eastAsia="zh-CN"/>
        </w:rPr>
        <w:t>融水保康医疗诊所（以下简称当事人）进行日常监督检查，在该诊所注射室货架上检查发现有“一次性使用输液器带针”和“一次性使用无菌注射器带针”2种医疗器械，该诊所管理者廖运欢现场提供供货商广西柳州创康医药有限公司的相关资质材料及检查发现的上述2种医疗器械的随货同行单，在检查发现的“一次性使用无菌注射器带针”（型号规格：中头式10ml，生产批号：批20210802，失效日期：10失20240801，生产企业：江西洪达医疗器械集团有限公司）、“一次性使用输液器带针”（规格型号：B3-1 0.55mm，生产批号：批20210220，失效日期：10失20230219，生产企业：江西洪达医疗器械集团有限公司）的广西柳州创康医药有限公司销售出库单（随货同行单）上未签署有验收人姓名或签章，同时执法人员在该诊所内检查未发现有医疗器械购进与验收管理相关制度。执法人员现场对当事人开展了询问调查，该诊所管理者廖运欢承认未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left="0" w:leftChars="0" w:right="0" w:rightChars="0" w:firstLine="0" w:firstLineChars="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立并执行医疗器械进货查验制度的违法事实。同日，经局领导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jc w:val="both"/>
        <w:textAlignment w:val="baseline"/>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sz w:val="32"/>
          <w:szCs w:val="32"/>
          <w:lang w:val="en-US" w:eastAsia="zh-CN"/>
        </w:rPr>
        <w:t>审批同意后对当事人进行立案调查。</w:t>
      </w:r>
      <w:r>
        <w:rPr>
          <w:rFonts w:hint="eastAsia" w:ascii="仿宋_GB2312" w:hAnsi="仿宋_GB2312" w:eastAsia="仿宋_GB2312" w:cs="仿宋_GB2312"/>
          <w:color w:val="auto"/>
          <w:sz w:val="32"/>
          <w:szCs w:val="32"/>
          <w:u w:val="none" w:color="auto"/>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color="auto"/>
          <w:lang w:eastAsia="zh-CN"/>
        </w:rPr>
        <w:t>经调查，当事人</w:t>
      </w:r>
      <w:r>
        <w:rPr>
          <w:rFonts w:hint="eastAsia" w:ascii="仿宋_GB2312" w:hAnsi="仿宋_GB2312" w:eastAsia="仿宋_GB2312" w:cs="仿宋_GB2312"/>
          <w:color w:val="auto"/>
          <w:sz w:val="32"/>
          <w:szCs w:val="32"/>
          <w:lang w:val="en-US" w:eastAsia="zh-CN"/>
        </w:rPr>
        <w:t>未建立并执行医疗器械进货查验制度的事实属实。</w:t>
      </w:r>
    </w:p>
    <w:p>
      <w:pPr>
        <w:keepNext w:val="0"/>
        <w:keepLines w:val="0"/>
        <w:pageBreakBefore w:val="0"/>
        <w:wordWrap/>
        <w:overflowPunct/>
        <w:topLinePunct w:val="0"/>
        <w:bidi w:val="0"/>
        <w:adjustRightInd w:val="0"/>
        <w:spacing w:before="104" w:line="560" w:lineRule="exact"/>
        <w:ind w:firstLine="677"/>
        <w:textAlignment w:val="baseline"/>
        <w:rPr>
          <w:rFonts w:hint="eastAsia" w:ascii="仿宋_GB2312" w:hAnsi="仿宋_GB2312" w:eastAsia="仿宋_GB2312" w:cs="仿宋_GB2312"/>
          <w:color w:val="auto"/>
          <w:spacing w:val="-16"/>
          <w:sz w:val="32"/>
          <w:szCs w:val="32"/>
        </w:rPr>
      </w:pPr>
      <w:r>
        <w:rPr>
          <w:rFonts w:hint="eastAsia" w:ascii="仿宋_GB2312" w:hAnsi="仿宋_GB2312" w:eastAsia="仿宋_GB2312" w:cs="仿宋_GB2312"/>
          <w:color w:val="auto"/>
          <w:spacing w:val="-16"/>
          <w:sz w:val="32"/>
          <w:szCs w:val="32"/>
        </w:rPr>
        <w:t>上述事实，主要有以下证据证明：</w:t>
      </w:r>
    </w:p>
    <w:p>
      <w:pPr>
        <w:keepNext w:val="0"/>
        <w:keepLines w:val="0"/>
        <w:pageBreakBefore w:val="0"/>
        <w:wordWrap/>
        <w:overflowPunct/>
        <w:topLinePunct w:val="0"/>
        <w:bidi w:val="0"/>
        <w:adjustRightInd w:val="0"/>
        <w:spacing w:line="560" w:lineRule="exact"/>
        <w:ind w:firstLine="632" w:firstLineChars="200"/>
        <w:textAlignment w:val="baseline"/>
        <w:rPr>
          <w:rFonts w:hint="eastAsia" w:ascii="仿宋_GB2312" w:hAnsi="仿宋_GB2312" w:eastAsia="仿宋_GB2312" w:cs="仿宋_GB2312"/>
          <w:b w:val="0"/>
          <w:bCs w:val="0"/>
          <w:color w:val="auto"/>
          <w:spacing w:val="-2"/>
          <w:sz w:val="32"/>
          <w:szCs w:val="32"/>
          <w:lang w:val="en-US" w:eastAsia="zh-CN"/>
        </w:rPr>
      </w:pPr>
      <w:r>
        <w:rPr>
          <w:rFonts w:hint="eastAsia" w:ascii="仿宋_GB2312" w:hAnsi="仿宋_GB2312" w:eastAsia="仿宋_GB2312" w:cs="仿宋_GB2312"/>
          <w:b w:val="0"/>
          <w:bCs w:val="0"/>
          <w:color w:val="auto"/>
          <w:spacing w:val="-2"/>
          <w:sz w:val="32"/>
          <w:szCs w:val="32"/>
          <w:lang w:val="en-US" w:eastAsia="zh-CN"/>
        </w:rPr>
        <w:t>1、融水保康医疗诊所《营业执照》和《医疗机构执业许可证》复印件各一份，证明当事人的合法主体资质证明；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2、廖顺旭</w:t>
      </w:r>
      <w:r>
        <w:rPr>
          <w:rFonts w:hint="eastAsia" w:ascii="仿宋_GB2312" w:hAnsi="仿宋_GB2312" w:eastAsia="仿宋_GB2312" w:cs="仿宋_GB2312"/>
          <w:color w:val="auto"/>
          <w:sz w:val="32"/>
          <w:szCs w:val="32"/>
        </w:rPr>
        <w:t>《居民身份证》复印件一份，</w:t>
      </w:r>
      <w:r>
        <w:rPr>
          <w:rFonts w:hint="eastAsia" w:ascii="仿宋_GB2312" w:hAnsi="仿宋_GB2312" w:eastAsia="仿宋_GB2312" w:cs="仿宋_GB2312"/>
          <w:color w:val="auto"/>
          <w:sz w:val="32"/>
          <w:szCs w:val="32"/>
          <w:u w:val="none"/>
          <w:lang w:val="en-US" w:eastAsia="zh-CN"/>
        </w:rPr>
        <w:t>证明</w:t>
      </w:r>
      <w:r>
        <w:rPr>
          <w:rFonts w:hint="eastAsia" w:ascii="仿宋_GB2312" w:hAnsi="仿宋_GB2312" w:eastAsia="仿宋_GB2312" w:cs="仿宋_GB2312"/>
          <w:color w:val="auto"/>
          <w:spacing w:val="-11"/>
          <w:sz w:val="32"/>
          <w:szCs w:val="32"/>
          <w:lang w:eastAsia="zh-CN"/>
        </w:rPr>
        <w:t>该</w:t>
      </w:r>
      <w:r>
        <w:rPr>
          <w:rFonts w:hint="eastAsia" w:ascii="仿宋_GB2312" w:hAnsi="仿宋_GB2312" w:eastAsia="仿宋_GB2312" w:cs="仿宋_GB2312"/>
          <w:color w:val="auto"/>
          <w:sz w:val="32"/>
          <w:szCs w:val="32"/>
          <w:lang w:eastAsia="zh-CN"/>
        </w:rPr>
        <w:t>诊所经营者廖顺旭</w:t>
      </w:r>
      <w:r>
        <w:rPr>
          <w:rFonts w:hint="eastAsia" w:ascii="仿宋_GB2312" w:hAnsi="仿宋_GB2312" w:eastAsia="仿宋_GB2312" w:cs="仿宋_GB2312"/>
          <w:color w:val="auto"/>
          <w:sz w:val="32"/>
          <w:szCs w:val="32"/>
          <w:u w:val="none"/>
          <w:lang w:val="en-US" w:eastAsia="zh-CN"/>
        </w:rPr>
        <w:t>符合承担法律责任的主体资格</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《现场笔录》</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《执法人员</w:t>
      </w:r>
      <w:r>
        <w:rPr>
          <w:rFonts w:hint="eastAsia" w:ascii="仿宋_GB2312" w:hAnsi="仿宋_GB2312" w:eastAsia="仿宋_GB2312" w:cs="仿宋_GB2312"/>
          <w:color w:val="auto"/>
          <w:sz w:val="32"/>
          <w:szCs w:val="32"/>
        </w:rPr>
        <w:t>现场拍摄</w:t>
      </w:r>
      <w:r>
        <w:rPr>
          <w:rFonts w:hint="eastAsia" w:ascii="仿宋_GB2312" w:hAnsi="仿宋_GB2312" w:eastAsia="仿宋_GB2312" w:cs="仿宋_GB2312"/>
          <w:color w:val="auto"/>
          <w:sz w:val="32"/>
          <w:szCs w:val="32"/>
          <w:lang w:eastAsia="zh-CN"/>
        </w:rPr>
        <w:t>取证记录》</w:t>
      </w:r>
      <w:r>
        <w:rPr>
          <w:rFonts w:hint="eastAsia" w:ascii="仿宋_GB2312" w:hAnsi="仿宋_GB2312" w:eastAsia="仿宋_GB2312" w:cs="仿宋_GB2312"/>
          <w:color w:val="auto"/>
          <w:sz w:val="32"/>
          <w:szCs w:val="32"/>
        </w:rPr>
        <w:t>照片</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张，证明</w:t>
      </w:r>
      <w:r>
        <w:rPr>
          <w:rFonts w:hint="eastAsia" w:ascii="仿宋_GB2312" w:hAnsi="仿宋_GB2312" w:eastAsia="仿宋_GB2312" w:cs="仿宋_GB2312"/>
          <w:color w:val="auto"/>
          <w:spacing w:val="-11"/>
          <w:sz w:val="32"/>
          <w:szCs w:val="32"/>
          <w:lang w:eastAsia="zh-CN"/>
        </w:rPr>
        <w:t>该</w:t>
      </w:r>
      <w:r>
        <w:rPr>
          <w:rFonts w:hint="eastAsia" w:ascii="仿宋_GB2312" w:hAnsi="仿宋_GB2312" w:eastAsia="仿宋_GB2312" w:cs="仿宋_GB2312"/>
          <w:color w:val="auto"/>
          <w:sz w:val="32"/>
          <w:szCs w:val="32"/>
          <w:lang w:eastAsia="zh-CN"/>
        </w:rPr>
        <w:t>诊所</w:t>
      </w:r>
      <w:r>
        <w:rPr>
          <w:rFonts w:hint="eastAsia" w:ascii="仿宋_GB2312" w:hAnsi="仿宋_GB2312" w:eastAsia="仿宋_GB2312" w:cs="仿宋_GB2312"/>
          <w:color w:val="auto"/>
          <w:sz w:val="32"/>
          <w:szCs w:val="32"/>
          <w:lang w:val="en-US" w:eastAsia="zh-CN"/>
        </w:rPr>
        <w:t>未建立并执行医疗器械进货查验制度的违法</w:t>
      </w:r>
      <w:r>
        <w:rPr>
          <w:rFonts w:hint="eastAsia" w:ascii="仿宋_GB2312" w:hAnsi="仿宋_GB2312" w:eastAsia="仿宋_GB2312" w:cs="仿宋_GB2312"/>
          <w:color w:val="auto"/>
          <w:spacing w:val="-7"/>
          <w:sz w:val="32"/>
          <w:szCs w:val="32"/>
          <w:lang w:eastAsia="zh-CN"/>
        </w:rPr>
        <w:t>事实</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96"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1"/>
          <w:sz w:val="32"/>
          <w:szCs w:val="32"/>
          <w:u w:val="none"/>
          <w:lang w:val="en-US" w:eastAsia="zh-CN"/>
        </w:rPr>
        <w:t>4、</w:t>
      </w:r>
      <w:r>
        <w:rPr>
          <w:rFonts w:hint="eastAsia" w:ascii="仿宋_GB2312" w:hAnsi="仿宋_GB2312" w:eastAsia="仿宋_GB2312" w:cs="仿宋_GB2312"/>
          <w:color w:val="auto"/>
          <w:spacing w:val="-11"/>
          <w:sz w:val="32"/>
          <w:szCs w:val="32"/>
          <w:u w:val="none"/>
          <w:lang w:eastAsia="zh-CN"/>
        </w:rPr>
        <w:t>《当事人送达地址确认书》</w:t>
      </w:r>
      <w:r>
        <w:rPr>
          <w:rFonts w:hint="eastAsia" w:ascii="仿宋_GB2312" w:hAnsi="仿宋_GB2312" w:eastAsia="仿宋_GB2312" w:cs="仿宋_GB2312"/>
          <w:color w:val="auto"/>
          <w:spacing w:val="-11"/>
          <w:sz w:val="32"/>
          <w:szCs w:val="32"/>
          <w:u w:val="none"/>
          <w:lang w:val="en-US" w:eastAsia="zh-CN"/>
        </w:rPr>
        <w:t>一份；证明</w:t>
      </w:r>
      <w:r>
        <w:rPr>
          <w:rFonts w:hint="eastAsia" w:ascii="仿宋_GB2312" w:hAnsi="仿宋_GB2312" w:eastAsia="仿宋_GB2312" w:cs="仿宋_GB2312"/>
          <w:color w:val="auto"/>
          <w:spacing w:val="-11"/>
          <w:sz w:val="32"/>
          <w:szCs w:val="32"/>
          <w:u w:val="none"/>
          <w:lang w:eastAsia="zh-CN"/>
        </w:rPr>
        <w:t>法律文书送达地址及送达方式准确、有效。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《询问笔录》一份，证明</w:t>
      </w:r>
      <w:r>
        <w:rPr>
          <w:rFonts w:hint="eastAsia" w:ascii="仿宋_GB2312" w:hAnsi="仿宋_GB2312" w:eastAsia="仿宋_GB2312" w:cs="仿宋_GB2312"/>
          <w:color w:val="auto"/>
          <w:spacing w:val="-11"/>
          <w:sz w:val="32"/>
          <w:szCs w:val="32"/>
          <w:lang w:eastAsia="zh-CN"/>
        </w:rPr>
        <w:t>该</w:t>
      </w:r>
      <w:r>
        <w:rPr>
          <w:rFonts w:hint="eastAsia" w:ascii="仿宋_GB2312" w:hAnsi="仿宋_GB2312" w:eastAsia="仿宋_GB2312" w:cs="仿宋_GB2312"/>
          <w:color w:val="auto"/>
          <w:sz w:val="32"/>
          <w:szCs w:val="32"/>
          <w:lang w:eastAsia="zh-CN"/>
        </w:rPr>
        <w:t>诊所承认</w:t>
      </w:r>
      <w:r>
        <w:rPr>
          <w:rFonts w:hint="eastAsia" w:ascii="仿宋_GB2312" w:hAnsi="仿宋_GB2312" w:eastAsia="仿宋_GB2312" w:cs="仿宋_GB2312"/>
          <w:color w:val="auto"/>
          <w:sz w:val="32"/>
          <w:szCs w:val="32"/>
          <w:lang w:val="en-US" w:eastAsia="zh-CN"/>
        </w:rPr>
        <w:t>未建立并执行医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firstLineChars="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疗器械进货查验制度的违法</w:t>
      </w:r>
      <w:r>
        <w:rPr>
          <w:rFonts w:hint="eastAsia" w:ascii="仿宋_GB2312" w:hAnsi="仿宋_GB2312" w:eastAsia="仿宋_GB2312" w:cs="仿宋_GB2312"/>
          <w:color w:val="auto"/>
          <w:spacing w:val="-7"/>
          <w:sz w:val="32"/>
          <w:szCs w:val="32"/>
          <w:lang w:eastAsia="zh-CN"/>
        </w:rPr>
        <w:t>事实</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6、《授权委托书》、廖运欢《居民身份证》复印件各一份，证明委托事项及被委托人廖运欢的合法身份信息。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b w:val="0"/>
          <w:bCs w:val="0"/>
          <w:color w:val="auto"/>
          <w:sz w:val="32"/>
          <w:szCs w:val="32"/>
          <w:u w:val="none"/>
          <w:lang w:eastAsia="zh-CN"/>
        </w:rPr>
        <w:t>我局于</w:t>
      </w:r>
      <w:r>
        <w:rPr>
          <w:rFonts w:hint="eastAsia" w:ascii="仿宋_GB2312" w:hAnsi="仿宋_GB2312" w:eastAsia="仿宋_GB2312" w:cs="仿宋_GB2312"/>
          <w:b w:val="0"/>
          <w:bCs w:val="0"/>
          <w:color w:val="auto"/>
          <w:sz w:val="32"/>
          <w:szCs w:val="32"/>
          <w:u w:val="none"/>
          <w:lang w:val="en-US" w:eastAsia="zh-CN"/>
        </w:rPr>
        <w:t>2021年11月22日已向当事人下达《行政处罚告知书》（融市监告知[2021]201号），当事人</w:t>
      </w:r>
      <w:r>
        <w:rPr>
          <w:rFonts w:hint="eastAsia" w:ascii="仿宋_GB2312" w:hAnsi="仿宋_GB2312" w:eastAsia="仿宋_GB2312" w:cs="仿宋_GB2312"/>
          <w:color w:val="auto"/>
          <w:sz w:val="32"/>
          <w:szCs w:val="32"/>
          <w:lang w:eastAsia="zh-CN"/>
        </w:rPr>
        <w:t>未对我局拟作出的行政处罚决定申请陈述申辩，</w:t>
      </w:r>
      <w:r>
        <w:rPr>
          <w:rFonts w:hint="eastAsia" w:ascii="仿宋_GB2312" w:hAnsi="仿宋_GB2312" w:eastAsia="仿宋_GB2312" w:cs="仿宋_GB2312"/>
          <w:b w:val="0"/>
          <w:bCs w:val="0"/>
          <w:color w:val="auto"/>
          <w:sz w:val="32"/>
          <w:szCs w:val="32"/>
          <w:lang w:val="en-US" w:eastAsia="zh-CN"/>
        </w:rPr>
        <w:t>在规定时间</w:t>
      </w:r>
      <w:r>
        <w:rPr>
          <w:rFonts w:hint="eastAsia" w:ascii="仿宋_GB2312" w:hAnsi="仿宋_GB2312" w:eastAsia="仿宋_GB2312" w:cs="仿宋_GB2312"/>
          <w:spacing w:val="-2"/>
          <w:sz w:val="32"/>
          <w:szCs w:val="32"/>
          <w:lang w:eastAsia="zh-CN"/>
        </w:rPr>
        <w:t>内</w:t>
      </w:r>
      <w:r>
        <w:rPr>
          <w:rFonts w:hint="eastAsia" w:ascii="仿宋_GB2312" w:hAnsi="仿宋_GB2312" w:eastAsia="仿宋_GB2312" w:cs="仿宋_GB2312"/>
          <w:spacing w:val="-2"/>
          <w:sz w:val="32"/>
          <w:szCs w:val="32"/>
        </w:rPr>
        <w:t>未</w:t>
      </w:r>
      <w:r>
        <w:rPr>
          <w:rFonts w:hint="eastAsia" w:ascii="仿宋_GB2312" w:hAnsi="仿宋_GB2312" w:eastAsia="仿宋_GB2312" w:cs="仿宋_GB2312"/>
          <w:spacing w:val="-2"/>
          <w:sz w:val="32"/>
          <w:szCs w:val="32"/>
          <w:lang w:eastAsia="zh-CN"/>
        </w:rPr>
        <w:t>提出</w:t>
      </w:r>
      <w:r>
        <w:rPr>
          <w:rFonts w:hint="eastAsia" w:ascii="仿宋_GB2312" w:hAnsi="仿宋_GB2312" w:eastAsia="仿宋_GB2312" w:cs="仿宋_GB2312"/>
          <w:spacing w:val="-2"/>
          <w:sz w:val="32"/>
          <w:szCs w:val="32"/>
        </w:rPr>
        <w:t>陈述、申辩，视为放弃</w:t>
      </w:r>
      <w:r>
        <w:rPr>
          <w:rFonts w:hint="eastAsia" w:ascii="仿宋_GB2312" w:hAnsi="仿宋_GB2312" w:eastAsia="仿宋_GB2312" w:cs="仿宋_GB2312"/>
          <w:spacing w:val="-5"/>
          <w:sz w:val="32"/>
          <w:szCs w:val="32"/>
        </w:rPr>
        <w:t>此权利。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20" w:firstLineChars="20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pacing w:val="-5"/>
          <w:sz w:val="32"/>
          <w:szCs w:val="32"/>
          <w:lang w:eastAsia="zh-CN"/>
        </w:rPr>
        <w:t>综上，当事人</w:t>
      </w:r>
      <w:r>
        <w:rPr>
          <w:rFonts w:hint="eastAsia" w:ascii="仿宋_GB2312" w:hAnsi="仿宋_GB2312" w:eastAsia="仿宋_GB2312" w:cs="仿宋_GB2312"/>
          <w:color w:val="auto"/>
          <w:sz w:val="32"/>
          <w:szCs w:val="32"/>
          <w:lang w:val="en-US" w:eastAsia="zh-CN"/>
        </w:rPr>
        <w:t>未建立并执行医疗器械进货查验制度的行为违反《医疗器械监督管理条例》第四十五条第一款：“医疗器械经营企业、使用单位应当从具备合法资质的医疗器械注册人、备案人、生产经营企业购进医疗器械。购进医疗器械时，应当查验供货者的资质和医疗器械的合格证明文件，建立进货查验制度。从事第二类、第三类医疗器械批发业务以及第三类医疗器械零售业务的经营企业，还应当建立销售记录制度。”的规定。依据《医疗器械监督管理条例》第八十九条第一款第（三）项：“有下列情形之一的，由负责药品监督管理的部门和卫生主管部门依据各自职责任令改正，给予警告；... ...（三）医疗器械经营企业、使用单位未依照本条例规定建立并执行医疗器械进货查验记录制度；... ...”的</w:t>
      </w:r>
      <w:r>
        <w:rPr>
          <w:rFonts w:hint="eastAsia" w:ascii="仿宋_GB2312" w:hAnsi="仿宋_GB2312" w:eastAsia="仿宋_GB2312" w:cs="仿宋_GB2312"/>
          <w:b w:val="0"/>
          <w:bCs w:val="0"/>
          <w:color w:val="auto"/>
          <w:sz w:val="32"/>
          <w:szCs w:val="32"/>
          <w:lang w:eastAsia="zh-CN"/>
        </w:rPr>
        <w:t>规定，</w:t>
      </w:r>
      <w:r>
        <w:rPr>
          <w:rFonts w:hint="eastAsia" w:ascii="仿宋_GB2312" w:hAnsi="仿宋_GB2312" w:eastAsia="仿宋_GB2312" w:cs="仿宋_GB2312"/>
          <w:color w:val="auto"/>
          <w:spacing w:val="-5"/>
          <w:sz w:val="32"/>
          <w:szCs w:val="32"/>
          <w:lang w:eastAsia="zh-CN"/>
        </w:rPr>
        <w:t>我局</w:t>
      </w:r>
      <w:r>
        <w:rPr>
          <w:rFonts w:hint="eastAsia" w:ascii="仿宋_GB2312" w:hAnsi="仿宋_GB2312" w:eastAsia="仿宋_GB2312" w:cs="仿宋_GB2312"/>
          <w:color w:val="auto"/>
          <w:spacing w:val="-1"/>
          <w:sz w:val="32"/>
          <w:szCs w:val="32"/>
        </w:rPr>
        <w:t>决定</w:t>
      </w:r>
      <w:r>
        <w:rPr>
          <w:rFonts w:hint="eastAsia" w:ascii="仿宋_GB2312" w:hAnsi="仿宋_GB2312" w:eastAsia="仿宋_GB2312" w:cs="仿宋_GB2312"/>
          <w:color w:val="auto"/>
          <w:spacing w:val="-1"/>
          <w:sz w:val="32"/>
          <w:szCs w:val="32"/>
          <w:lang w:eastAsia="zh-CN"/>
        </w:rPr>
        <w:t>对当事人作出行政</w:t>
      </w:r>
      <w:r>
        <w:rPr>
          <w:rFonts w:hint="eastAsia" w:ascii="仿宋_GB2312" w:hAnsi="仿宋_GB2312" w:eastAsia="仿宋_GB2312" w:cs="仿宋_GB2312"/>
          <w:color w:val="auto"/>
          <w:spacing w:val="-1"/>
          <w:sz w:val="32"/>
          <w:szCs w:val="32"/>
        </w:rPr>
        <w:t>处罚如下：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3" w:firstLineChars="200"/>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警告</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496" w:firstLineChars="200"/>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pacing w:val="-36"/>
          <w:sz w:val="32"/>
          <w:szCs w:val="32"/>
          <w:highlight w:val="none"/>
          <w:lang w:val="en-US" w:eastAsia="zh-CN"/>
        </w:rPr>
        <w:t xml:space="preserve"> </w:t>
      </w:r>
      <w:r>
        <w:rPr>
          <w:rFonts w:hint="eastAsia" w:ascii="仿宋_GB2312" w:hAnsi="仿宋_GB2312" w:eastAsia="仿宋_GB2312" w:cs="仿宋_GB2312"/>
          <w:b w:val="0"/>
          <w:bCs w:val="0"/>
          <w:color w:val="auto"/>
          <w:sz w:val="32"/>
          <w:szCs w:val="32"/>
          <w:lang w:val="en-US" w:eastAsia="zh-CN"/>
        </w:rPr>
        <w:t>同时，根据《中华人民共和国行政处罚法》第二十八条第一款、</w:t>
      </w:r>
      <w:r>
        <w:rPr>
          <w:rFonts w:hint="eastAsia" w:ascii="仿宋_GB2312" w:hAnsi="仿宋_GB2312" w:eastAsia="仿宋_GB2312" w:cs="仿宋_GB2312"/>
          <w:color w:val="auto"/>
          <w:sz w:val="32"/>
          <w:szCs w:val="32"/>
          <w:lang w:val="en-US" w:eastAsia="zh-CN"/>
        </w:rPr>
        <w:t>《医疗器械监督管理条例》第八十九条第一款第（三）项</w:t>
      </w:r>
      <w:r>
        <w:rPr>
          <w:rFonts w:hint="eastAsia" w:ascii="仿宋_GB2312" w:hAnsi="仿宋_GB2312" w:eastAsia="仿宋_GB2312" w:cs="仿宋_GB2312"/>
          <w:b w:val="0"/>
          <w:bCs w:val="0"/>
          <w:color w:val="auto"/>
          <w:sz w:val="32"/>
          <w:szCs w:val="32"/>
          <w:lang w:val="en-US" w:eastAsia="zh-CN"/>
        </w:rPr>
        <w:t>的规定，责令当事人立即改正违法行为。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u w:val="none"/>
          <w:lang w:val="en-US" w:eastAsia="zh-CN" w:bidi="ar-SA"/>
        </w:rPr>
        <w:t>当事人如对上述行政处罚决定不服，可在接到处罚决定书之日起六十日内，向融水苗族自治县人民政府申请复议；也可在六个月内向柳州市柳北区人民法院提起诉讼。申请行政复议或者提起行政诉讼期间，行政处罚不停止执行。</w:t>
      </w:r>
    </w:p>
    <w:p>
      <w:pPr>
        <w:keepNext w:val="0"/>
        <w:keepLines w:val="0"/>
        <w:pageBreakBefore w:val="0"/>
        <w:wordWrap/>
        <w:overflowPunct/>
        <w:topLinePunct w:val="0"/>
        <w:bidi w:val="0"/>
        <w:adjustRightInd w:val="0"/>
        <w:spacing w:line="420" w:lineRule="exact"/>
        <w:textAlignment w:val="baseline"/>
        <w:rPr>
          <w:rFonts w:hint="eastAsia"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20" w:lineRule="exact"/>
        <w:textAlignment w:val="baseline"/>
        <w:rPr>
          <w:rFonts w:hint="eastAsia" w:ascii="仿宋_GB2312" w:hAnsi="仿宋_GB2312" w:eastAsia="仿宋_GB2312" w:cs="仿宋_GB2312"/>
          <w:color w:val="auto"/>
          <w:sz w:val="32"/>
          <w:szCs w:val="32"/>
        </w:rPr>
      </w:pPr>
    </w:p>
    <w:p>
      <w:pPr>
        <w:keepNext w:val="0"/>
        <w:keepLines w:val="0"/>
        <w:pageBreakBefore w:val="0"/>
        <w:tabs>
          <w:tab w:val="left" w:pos="5667"/>
        </w:tabs>
        <w:wordWrap/>
        <w:overflowPunct/>
        <w:topLinePunct w:val="0"/>
        <w:bidi w:val="0"/>
        <w:adjustRightInd w:val="0"/>
        <w:spacing w:before="104" w:line="420" w:lineRule="exact"/>
        <w:ind w:right="861" w:firstLine="936" w:firstLineChars="300"/>
        <w:jc w:val="righ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4"/>
          <w:sz w:val="32"/>
          <w:szCs w:val="32"/>
          <w:lang w:eastAsia="zh-CN"/>
        </w:rPr>
        <w:t>融水苗族自治县</w:t>
      </w:r>
      <w:r>
        <w:rPr>
          <w:rFonts w:hint="eastAsia" w:ascii="仿宋_GB2312" w:hAnsi="仿宋_GB2312" w:eastAsia="仿宋_GB2312" w:cs="仿宋_GB2312"/>
          <w:color w:val="auto"/>
          <w:spacing w:val="-4"/>
          <w:sz w:val="32"/>
          <w:szCs w:val="32"/>
        </w:rPr>
        <w:t>市场监督管理局</w:t>
      </w:r>
      <w:r>
        <w:rPr>
          <w:rFonts w:hint="eastAsia" w:ascii="仿宋_GB2312" w:hAnsi="仿宋_GB2312" w:eastAsia="仿宋_GB2312" w:cs="仿宋_GB2312"/>
          <w:color w:val="auto"/>
          <w:spacing w:val="-30"/>
          <w:sz w:val="32"/>
          <w:szCs w:val="32"/>
        </w:rPr>
        <w:t>（</w:t>
      </w:r>
      <w:r>
        <w:rPr>
          <w:rFonts w:hint="eastAsia" w:ascii="仿宋_GB2312" w:hAnsi="仿宋_GB2312" w:eastAsia="仿宋_GB2312" w:cs="仿宋_GB2312"/>
          <w:color w:val="auto"/>
          <w:spacing w:val="-65"/>
          <w:sz w:val="32"/>
          <w:szCs w:val="32"/>
        </w:rPr>
        <w:t xml:space="preserve"> </w:t>
      </w:r>
      <w:r>
        <w:rPr>
          <w:rFonts w:hint="eastAsia" w:ascii="仿宋_GB2312" w:hAnsi="仿宋_GB2312" w:eastAsia="仿宋_GB2312" w:cs="仿宋_GB2312"/>
          <w:color w:val="auto"/>
          <w:spacing w:val="-30"/>
          <w:sz w:val="32"/>
          <w:szCs w:val="32"/>
        </w:rPr>
        <w:t>印</w:t>
      </w:r>
      <w:r>
        <w:rPr>
          <w:rFonts w:hint="eastAsia" w:ascii="仿宋_GB2312" w:hAnsi="仿宋_GB2312" w:eastAsia="仿宋_GB2312" w:cs="仿宋_GB2312"/>
          <w:color w:val="auto"/>
          <w:spacing w:val="23"/>
          <w:sz w:val="32"/>
          <w:szCs w:val="32"/>
        </w:rPr>
        <w:t xml:space="preserve"> </w:t>
      </w:r>
      <w:r>
        <w:rPr>
          <w:rFonts w:hint="eastAsia" w:ascii="仿宋_GB2312" w:hAnsi="仿宋_GB2312" w:eastAsia="仿宋_GB2312" w:cs="仿宋_GB2312"/>
          <w:color w:val="auto"/>
          <w:spacing w:val="-30"/>
          <w:sz w:val="32"/>
          <w:szCs w:val="32"/>
        </w:rPr>
        <w:t>章</w:t>
      </w:r>
      <w:r>
        <w:rPr>
          <w:rFonts w:hint="eastAsia" w:ascii="仿宋_GB2312" w:hAnsi="仿宋_GB2312" w:eastAsia="仿宋_GB2312" w:cs="仿宋_GB2312"/>
          <w:color w:val="auto"/>
          <w:spacing w:val="-119"/>
          <w:sz w:val="32"/>
          <w:szCs w:val="32"/>
        </w:rPr>
        <w:t xml:space="preserve"> </w:t>
      </w:r>
      <w:r>
        <w:rPr>
          <w:rFonts w:hint="eastAsia" w:ascii="仿宋_GB2312" w:hAnsi="仿宋_GB2312" w:eastAsia="仿宋_GB2312" w:cs="仿宋_GB2312"/>
          <w:color w:val="auto"/>
          <w:spacing w:val="-30"/>
          <w:sz w:val="32"/>
          <w:szCs w:val="32"/>
        </w:rPr>
        <w:t>）</w:t>
      </w:r>
    </w:p>
    <w:p>
      <w:pPr>
        <w:keepNext w:val="0"/>
        <w:keepLines w:val="0"/>
        <w:pageBreakBefore w:val="0"/>
        <w:wordWrap/>
        <w:overflowPunct/>
        <w:topLinePunct w:val="0"/>
        <w:bidi w:val="0"/>
        <w:adjustRightInd w:val="0"/>
        <w:spacing w:before="242" w:line="420" w:lineRule="exact"/>
        <w:ind w:firstLine="4608" w:firstLineChars="1600"/>
        <w:textAlignment w:val="baseline"/>
        <w:rPr>
          <w:rFonts w:hint="eastAsia" w:ascii="仿宋_GB2312" w:hAnsi="仿宋_GB2312" w:eastAsia="仿宋_GB2312" w:cs="仿宋_GB2312"/>
          <w:color w:val="auto"/>
          <w:spacing w:val="-16"/>
          <w:sz w:val="32"/>
          <w:szCs w:val="32"/>
        </w:rPr>
      </w:pPr>
      <w:r>
        <w:rPr>
          <w:rFonts w:hint="eastAsia" w:ascii="仿宋_GB2312" w:hAnsi="仿宋_GB2312" w:eastAsia="仿宋_GB2312" w:cs="仿宋_GB2312"/>
          <w:color w:val="auto"/>
          <w:spacing w:val="-16"/>
          <w:sz w:val="32"/>
          <w:szCs w:val="32"/>
          <w:lang w:val="en-US" w:eastAsia="zh-CN"/>
        </w:rPr>
        <w:t>2021</w:t>
      </w:r>
      <w:r>
        <w:rPr>
          <w:rFonts w:hint="eastAsia" w:ascii="仿宋_GB2312" w:hAnsi="仿宋_GB2312" w:eastAsia="仿宋_GB2312" w:cs="仿宋_GB2312"/>
          <w:color w:val="auto"/>
          <w:spacing w:val="-16"/>
          <w:sz w:val="32"/>
          <w:szCs w:val="32"/>
        </w:rPr>
        <w:t>年</w:t>
      </w:r>
      <w:r>
        <w:rPr>
          <w:rFonts w:hint="eastAsia" w:ascii="仿宋_GB2312" w:hAnsi="仿宋_GB2312" w:eastAsia="仿宋_GB2312" w:cs="仿宋_GB2312"/>
          <w:color w:val="auto"/>
          <w:spacing w:val="10"/>
          <w:sz w:val="32"/>
          <w:szCs w:val="32"/>
          <w:lang w:val="en-US" w:eastAsia="zh-CN"/>
        </w:rPr>
        <w:t>11</w:t>
      </w:r>
      <w:r>
        <w:rPr>
          <w:rFonts w:hint="eastAsia" w:ascii="仿宋_GB2312" w:hAnsi="仿宋_GB2312" w:eastAsia="仿宋_GB2312" w:cs="仿宋_GB2312"/>
          <w:color w:val="auto"/>
          <w:spacing w:val="-16"/>
          <w:sz w:val="32"/>
          <w:szCs w:val="32"/>
        </w:rPr>
        <w:t>月</w:t>
      </w:r>
      <w:r>
        <w:rPr>
          <w:rFonts w:hint="eastAsia" w:ascii="仿宋_GB2312" w:hAnsi="仿宋_GB2312" w:eastAsia="仿宋_GB2312" w:cs="仿宋_GB2312"/>
          <w:color w:val="auto"/>
          <w:spacing w:val="24"/>
          <w:sz w:val="32"/>
          <w:szCs w:val="32"/>
          <w:lang w:val="en-US" w:eastAsia="zh-CN"/>
        </w:rPr>
        <w:t>29</w:t>
      </w:r>
      <w:r>
        <w:rPr>
          <w:rFonts w:hint="eastAsia" w:ascii="仿宋_GB2312" w:hAnsi="仿宋_GB2312" w:eastAsia="仿宋_GB2312" w:cs="仿宋_GB2312"/>
          <w:color w:val="auto"/>
          <w:spacing w:val="-16"/>
          <w:sz w:val="32"/>
          <w:szCs w:val="32"/>
        </w:rPr>
        <w:t>日</w:t>
      </w:r>
    </w:p>
    <w:p>
      <w:pPr>
        <w:keepNext w:val="0"/>
        <w:keepLines w:val="0"/>
        <w:pageBreakBefore w:val="0"/>
        <w:wordWrap/>
        <w:overflowPunct/>
        <w:topLinePunct w:val="0"/>
        <w:bidi w:val="0"/>
        <w:adjustRightInd w:val="0"/>
        <w:spacing w:before="242" w:line="420" w:lineRule="exact"/>
        <w:ind w:firstLine="4608" w:firstLineChars="1600"/>
        <w:textAlignment w:val="baseline"/>
        <w:rPr>
          <w:rFonts w:hint="eastAsia" w:ascii="仿宋" w:hAnsi="仿宋" w:eastAsia="仿宋" w:cs="仿宋"/>
          <w:color w:val="auto"/>
          <w:spacing w:val="-16"/>
          <w:sz w:val="32"/>
          <w:szCs w:val="32"/>
        </w:rPr>
      </w:pPr>
    </w:p>
    <w:p>
      <w:pPr>
        <w:keepNext w:val="0"/>
        <w:keepLines w:val="0"/>
        <w:pageBreakBefore w:val="0"/>
        <w:wordWrap/>
        <w:overflowPunct/>
        <w:topLinePunct w:val="0"/>
        <w:bidi w:val="0"/>
        <w:adjustRightInd w:val="0"/>
        <w:spacing w:before="105" w:line="420" w:lineRule="exact"/>
        <w:ind w:firstLine="403"/>
        <w:textAlignment w:val="baseline"/>
        <w:rPr>
          <w:rFonts w:hint="eastAsia" w:ascii="仿宋" w:hAnsi="仿宋" w:eastAsia="仿宋" w:cs="仿宋"/>
          <w:b/>
          <w:bCs/>
          <w:color w:val="auto"/>
          <w:sz w:val="32"/>
          <w:szCs w:val="32"/>
        </w:rPr>
      </w:pPr>
      <w:r>
        <w:rPr>
          <w:rFonts w:hint="eastAsia" w:ascii="仿宋" w:hAnsi="仿宋" w:eastAsia="仿宋" w:cs="仿宋"/>
          <w:b/>
          <w:bCs/>
          <w:color w:val="auto"/>
          <w:spacing w:val="-31"/>
          <w:sz w:val="32"/>
          <w:szCs w:val="32"/>
        </w:rPr>
        <w:t>（市场监督管理部门将依法向社会公开行政处罚决定信息）</w:t>
      </w:r>
    </w:p>
    <w:p>
      <w:pPr>
        <w:keepNext w:val="0"/>
        <w:keepLines w:val="0"/>
        <w:pageBreakBefore w:val="0"/>
        <w:wordWrap/>
        <w:overflowPunct/>
        <w:topLinePunct w:val="0"/>
        <w:bidi w:val="0"/>
        <w:adjustRightInd w:val="0"/>
        <w:spacing w:line="420" w:lineRule="exact"/>
        <w:ind w:firstLine="900" w:firstLineChars="300"/>
        <w:textAlignment w:val="baseline"/>
        <w:rPr>
          <w:rFonts w:hint="eastAsia" w:ascii="仿宋" w:hAnsi="仿宋" w:eastAsia="仿宋" w:cs="仿宋"/>
          <w:color w:val="auto"/>
          <w:spacing w:val="-10"/>
          <w:sz w:val="32"/>
          <w:szCs w:val="32"/>
        </w:rPr>
      </w:pPr>
    </w:p>
    <w:p>
      <w:pPr>
        <w:keepNext w:val="0"/>
        <w:keepLines w:val="0"/>
        <w:pageBreakBefore w:val="0"/>
        <w:wordWrap/>
        <w:overflowPunct/>
        <w:topLinePunct w:val="0"/>
        <w:bidi w:val="0"/>
        <w:adjustRightInd w:val="0"/>
        <w:spacing w:line="420" w:lineRule="exact"/>
        <w:ind w:firstLine="900" w:firstLineChars="300"/>
        <w:textAlignment w:val="baseline"/>
        <w:rPr>
          <w:rFonts w:hint="eastAsia" w:ascii="仿宋" w:hAnsi="仿宋" w:eastAsia="仿宋" w:cs="仿宋"/>
          <w:color w:val="auto"/>
          <w:spacing w:val="-10"/>
          <w:sz w:val="32"/>
          <w:szCs w:val="32"/>
        </w:rPr>
      </w:pPr>
    </w:p>
    <w:p>
      <w:pPr>
        <w:keepNext w:val="0"/>
        <w:keepLines w:val="0"/>
        <w:pageBreakBefore w:val="0"/>
        <w:wordWrap/>
        <w:overflowPunct/>
        <w:topLinePunct w:val="0"/>
        <w:bidi w:val="0"/>
        <w:adjustRightInd w:val="0"/>
        <w:spacing w:line="420" w:lineRule="exact"/>
        <w:textAlignment w:val="baseline"/>
        <w:rPr>
          <w:rFonts w:hint="eastAsia" w:ascii="仿宋" w:hAnsi="仿宋" w:eastAsia="仿宋" w:cs="仿宋"/>
          <w:color w:val="auto"/>
          <w:sz w:val="32"/>
          <w:szCs w:val="32"/>
        </w:rPr>
      </w:pPr>
      <w:r>
        <w:rPr>
          <w:rFonts w:hint="eastAsia" w:ascii="仿宋" w:hAnsi="仿宋" w:eastAsia="仿宋" w:cs="仿宋"/>
          <w:color w:val="auto"/>
          <w:spacing w:val="-10"/>
          <w:sz w:val="32"/>
          <w:szCs w:val="32"/>
        </w:rPr>
        <w:t>本文书一式</w:t>
      </w:r>
      <w:r>
        <w:rPr>
          <w:rFonts w:hint="eastAsia" w:ascii="仿宋" w:hAnsi="仿宋" w:eastAsia="仿宋" w:cs="仿宋"/>
          <w:color w:val="auto"/>
          <w:spacing w:val="6"/>
          <w:sz w:val="32"/>
          <w:szCs w:val="32"/>
          <w:u w:val="none" w:color="auto"/>
          <w:lang w:eastAsia="zh-CN"/>
        </w:rPr>
        <w:t>二</w:t>
      </w:r>
      <w:r>
        <w:rPr>
          <w:rFonts w:hint="eastAsia" w:ascii="仿宋" w:hAnsi="仿宋" w:eastAsia="仿宋" w:cs="仿宋"/>
          <w:color w:val="auto"/>
          <w:spacing w:val="-10"/>
          <w:sz w:val="32"/>
          <w:szCs w:val="32"/>
        </w:rPr>
        <w:t>份，</w:t>
      </w:r>
      <w:r>
        <w:rPr>
          <w:rFonts w:hint="eastAsia" w:ascii="仿宋" w:hAnsi="仿宋" w:eastAsia="仿宋" w:cs="仿宋"/>
          <w:color w:val="auto"/>
          <w:spacing w:val="20"/>
          <w:sz w:val="32"/>
          <w:szCs w:val="32"/>
          <w:u w:val="none" w:color="auto"/>
          <w:lang w:eastAsia="zh-CN"/>
        </w:rPr>
        <w:t>一</w:t>
      </w:r>
      <w:r>
        <w:rPr>
          <w:rFonts w:hint="eastAsia" w:ascii="仿宋" w:hAnsi="仿宋" w:eastAsia="仿宋" w:cs="仿宋"/>
          <w:color w:val="auto"/>
          <w:spacing w:val="-10"/>
          <w:sz w:val="32"/>
          <w:szCs w:val="32"/>
        </w:rPr>
        <w:t>份送达，一份归档。</w:t>
      </w:r>
    </w:p>
    <w:sectPr>
      <w:headerReference r:id="rId5" w:type="default"/>
      <w:footerReference r:id="rId6" w:type="default"/>
      <w:pgSz w:w="11906" w:h="16838"/>
      <w:pgMar w:top="1327" w:right="1576" w:bottom="1327"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45C61"/>
    <w:rsid w:val="00ED3DAA"/>
    <w:rsid w:val="00FC282C"/>
    <w:rsid w:val="022E6257"/>
    <w:rsid w:val="03132611"/>
    <w:rsid w:val="032D06A1"/>
    <w:rsid w:val="03CD51B9"/>
    <w:rsid w:val="04251044"/>
    <w:rsid w:val="046F32B9"/>
    <w:rsid w:val="053120ED"/>
    <w:rsid w:val="05CE6FC1"/>
    <w:rsid w:val="067046B1"/>
    <w:rsid w:val="06834FC3"/>
    <w:rsid w:val="07187AC2"/>
    <w:rsid w:val="073014EF"/>
    <w:rsid w:val="07571DAC"/>
    <w:rsid w:val="07A82D07"/>
    <w:rsid w:val="07FF096F"/>
    <w:rsid w:val="08321C91"/>
    <w:rsid w:val="08A761AE"/>
    <w:rsid w:val="09B56B44"/>
    <w:rsid w:val="0A10243A"/>
    <w:rsid w:val="0A2A19F9"/>
    <w:rsid w:val="0A3222FD"/>
    <w:rsid w:val="0ADA51CD"/>
    <w:rsid w:val="0B30723C"/>
    <w:rsid w:val="0C350AD1"/>
    <w:rsid w:val="0CBB3D9A"/>
    <w:rsid w:val="0D182018"/>
    <w:rsid w:val="0E5D49FE"/>
    <w:rsid w:val="0E6B31A6"/>
    <w:rsid w:val="0ECE6365"/>
    <w:rsid w:val="0EE27D89"/>
    <w:rsid w:val="1034164E"/>
    <w:rsid w:val="1139142B"/>
    <w:rsid w:val="11597CE7"/>
    <w:rsid w:val="124F1FBA"/>
    <w:rsid w:val="12B14FE2"/>
    <w:rsid w:val="13D2250E"/>
    <w:rsid w:val="144A0286"/>
    <w:rsid w:val="14E26DC8"/>
    <w:rsid w:val="153960A1"/>
    <w:rsid w:val="15461EBC"/>
    <w:rsid w:val="155E6EFF"/>
    <w:rsid w:val="15F04A42"/>
    <w:rsid w:val="15F41CFF"/>
    <w:rsid w:val="17DE2904"/>
    <w:rsid w:val="17F75DF5"/>
    <w:rsid w:val="184851E4"/>
    <w:rsid w:val="184D13EC"/>
    <w:rsid w:val="19091A75"/>
    <w:rsid w:val="193662D9"/>
    <w:rsid w:val="1A4446E9"/>
    <w:rsid w:val="1A837E92"/>
    <w:rsid w:val="1A9A5B22"/>
    <w:rsid w:val="1B1308D4"/>
    <w:rsid w:val="1B6D1746"/>
    <w:rsid w:val="1CD32158"/>
    <w:rsid w:val="1D2308C4"/>
    <w:rsid w:val="1DD22F74"/>
    <w:rsid w:val="1E167E1C"/>
    <w:rsid w:val="1EC93847"/>
    <w:rsid w:val="1FF5512E"/>
    <w:rsid w:val="22043500"/>
    <w:rsid w:val="22712813"/>
    <w:rsid w:val="22F308B2"/>
    <w:rsid w:val="233D5EAE"/>
    <w:rsid w:val="24783951"/>
    <w:rsid w:val="24943E95"/>
    <w:rsid w:val="2510262A"/>
    <w:rsid w:val="25AF3B46"/>
    <w:rsid w:val="26DD70E4"/>
    <w:rsid w:val="27CF249B"/>
    <w:rsid w:val="27D52B4D"/>
    <w:rsid w:val="280424B1"/>
    <w:rsid w:val="2A816856"/>
    <w:rsid w:val="2C0A3044"/>
    <w:rsid w:val="2C536916"/>
    <w:rsid w:val="2CC840E3"/>
    <w:rsid w:val="2CDA12CE"/>
    <w:rsid w:val="2D1772BA"/>
    <w:rsid w:val="2D1F486A"/>
    <w:rsid w:val="2D895A7F"/>
    <w:rsid w:val="2DFC4E1B"/>
    <w:rsid w:val="2E167879"/>
    <w:rsid w:val="2F6D0FDD"/>
    <w:rsid w:val="2F6F7C39"/>
    <w:rsid w:val="2FB65FF9"/>
    <w:rsid w:val="2FD23FF1"/>
    <w:rsid w:val="30B32457"/>
    <w:rsid w:val="30D53561"/>
    <w:rsid w:val="3108092F"/>
    <w:rsid w:val="31435883"/>
    <w:rsid w:val="351A01EA"/>
    <w:rsid w:val="35384764"/>
    <w:rsid w:val="354535EB"/>
    <w:rsid w:val="357C4434"/>
    <w:rsid w:val="358D4217"/>
    <w:rsid w:val="36105698"/>
    <w:rsid w:val="362A675A"/>
    <w:rsid w:val="36B267E8"/>
    <w:rsid w:val="36C7755E"/>
    <w:rsid w:val="37095D7C"/>
    <w:rsid w:val="3733216B"/>
    <w:rsid w:val="37571F11"/>
    <w:rsid w:val="37C36D96"/>
    <w:rsid w:val="381F13CD"/>
    <w:rsid w:val="387D7560"/>
    <w:rsid w:val="38EC0A88"/>
    <w:rsid w:val="39FB7BE8"/>
    <w:rsid w:val="3A213FE0"/>
    <w:rsid w:val="3AF06A2B"/>
    <w:rsid w:val="3B4E2EEA"/>
    <w:rsid w:val="3BBE0340"/>
    <w:rsid w:val="3BE90F6C"/>
    <w:rsid w:val="3CAE7142"/>
    <w:rsid w:val="3CBE52CC"/>
    <w:rsid w:val="3D0C0967"/>
    <w:rsid w:val="3D2A017E"/>
    <w:rsid w:val="3DAA2BDE"/>
    <w:rsid w:val="3E74214D"/>
    <w:rsid w:val="3E8B2F68"/>
    <w:rsid w:val="3EC12109"/>
    <w:rsid w:val="3F5E3C8A"/>
    <w:rsid w:val="3F62246A"/>
    <w:rsid w:val="3FAD13FC"/>
    <w:rsid w:val="3FD94152"/>
    <w:rsid w:val="4024421A"/>
    <w:rsid w:val="40295B1D"/>
    <w:rsid w:val="40746ABB"/>
    <w:rsid w:val="4084508F"/>
    <w:rsid w:val="409F57DC"/>
    <w:rsid w:val="40C45C61"/>
    <w:rsid w:val="411F0E08"/>
    <w:rsid w:val="417B430D"/>
    <w:rsid w:val="41AD4C66"/>
    <w:rsid w:val="41BA4718"/>
    <w:rsid w:val="42300258"/>
    <w:rsid w:val="425B76C0"/>
    <w:rsid w:val="42B106A4"/>
    <w:rsid w:val="43016620"/>
    <w:rsid w:val="43ED0DC6"/>
    <w:rsid w:val="4574089E"/>
    <w:rsid w:val="457A0074"/>
    <w:rsid w:val="468F7D22"/>
    <w:rsid w:val="46D247FA"/>
    <w:rsid w:val="4762437B"/>
    <w:rsid w:val="479D65C8"/>
    <w:rsid w:val="48E847AE"/>
    <w:rsid w:val="49534932"/>
    <w:rsid w:val="4A0D1C54"/>
    <w:rsid w:val="4A282339"/>
    <w:rsid w:val="4B0C26C1"/>
    <w:rsid w:val="4B5C5C20"/>
    <w:rsid w:val="4B743005"/>
    <w:rsid w:val="4CB91BB2"/>
    <w:rsid w:val="4D752576"/>
    <w:rsid w:val="4E4A55A9"/>
    <w:rsid w:val="4E4F6905"/>
    <w:rsid w:val="4F346DA6"/>
    <w:rsid w:val="50416722"/>
    <w:rsid w:val="50BE02BD"/>
    <w:rsid w:val="51A01A1A"/>
    <w:rsid w:val="525451F2"/>
    <w:rsid w:val="527C17C7"/>
    <w:rsid w:val="52DE2402"/>
    <w:rsid w:val="53F63AFE"/>
    <w:rsid w:val="5435659E"/>
    <w:rsid w:val="548026A7"/>
    <w:rsid w:val="549D6B60"/>
    <w:rsid w:val="559B0BF0"/>
    <w:rsid w:val="56A774B5"/>
    <w:rsid w:val="56B058CE"/>
    <w:rsid w:val="571662BC"/>
    <w:rsid w:val="571D221E"/>
    <w:rsid w:val="57615EBC"/>
    <w:rsid w:val="57734DB9"/>
    <w:rsid w:val="580E15DF"/>
    <w:rsid w:val="58BA52C3"/>
    <w:rsid w:val="58F71674"/>
    <w:rsid w:val="592536E9"/>
    <w:rsid w:val="594015B5"/>
    <w:rsid w:val="59AC165F"/>
    <w:rsid w:val="59B963E2"/>
    <w:rsid w:val="59FF1162"/>
    <w:rsid w:val="5A0C481B"/>
    <w:rsid w:val="5A5F6122"/>
    <w:rsid w:val="5AC32B55"/>
    <w:rsid w:val="5B5D1F0A"/>
    <w:rsid w:val="5D601470"/>
    <w:rsid w:val="5F8F5CA6"/>
    <w:rsid w:val="5FF463FF"/>
    <w:rsid w:val="61E20FBE"/>
    <w:rsid w:val="6239541A"/>
    <w:rsid w:val="62E47D8B"/>
    <w:rsid w:val="638F2224"/>
    <w:rsid w:val="6494772F"/>
    <w:rsid w:val="64C07AE4"/>
    <w:rsid w:val="65270BCC"/>
    <w:rsid w:val="65606F01"/>
    <w:rsid w:val="660910C5"/>
    <w:rsid w:val="663866E1"/>
    <w:rsid w:val="668862C2"/>
    <w:rsid w:val="66B1328F"/>
    <w:rsid w:val="674A4DE7"/>
    <w:rsid w:val="6791015D"/>
    <w:rsid w:val="682A3D56"/>
    <w:rsid w:val="688D47A2"/>
    <w:rsid w:val="68B06F08"/>
    <w:rsid w:val="68D604B2"/>
    <w:rsid w:val="69797722"/>
    <w:rsid w:val="6D836A6F"/>
    <w:rsid w:val="6DAB4E8C"/>
    <w:rsid w:val="6DCD49BA"/>
    <w:rsid w:val="6E10419E"/>
    <w:rsid w:val="6E8B4A99"/>
    <w:rsid w:val="6FF50FC5"/>
    <w:rsid w:val="7019080E"/>
    <w:rsid w:val="702C664F"/>
    <w:rsid w:val="70B054D2"/>
    <w:rsid w:val="72352D0B"/>
    <w:rsid w:val="732B25B2"/>
    <w:rsid w:val="73860736"/>
    <w:rsid w:val="73E33355"/>
    <w:rsid w:val="747E338F"/>
    <w:rsid w:val="75045C74"/>
    <w:rsid w:val="75CE592B"/>
    <w:rsid w:val="76B132EF"/>
    <w:rsid w:val="76B8123B"/>
    <w:rsid w:val="777F175A"/>
    <w:rsid w:val="77E3618D"/>
    <w:rsid w:val="781B08C4"/>
    <w:rsid w:val="7A0C04C4"/>
    <w:rsid w:val="7D0F2052"/>
    <w:rsid w:val="7E20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2021-07-22T01:01:00Z</dcterms:created>
  <dc:creator>Administrator</dc:creator>
  <cp:lastModifiedBy>Administrator</cp:lastModifiedBy>
  <cp:lastPrinted>2021-11-29T05:21:00Z</cp:lastPrinted>
  <dcterms:modified xsi:type="dcterms:W3CDTF">2021-11-30T03:54:44Z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80B34B9CC4C5459DAD201C24C9328ACE</vt:lpwstr>
  </property>
</Properties>
</file>