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</w:rPr>
      </w:pPr>
      <w:bookmarkStart w:id="0" w:name="OLE_LINK1"/>
    </w:p>
    <w:p>
      <w:pPr>
        <w:tabs>
          <w:tab w:val="left" w:pos="3675"/>
        </w:tabs>
        <w:adjustRightInd w:val="0"/>
        <w:snapToGrid w:val="0"/>
        <w:spacing w:line="1000" w:lineRule="exact"/>
        <w:ind w:right="-1"/>
        <w:jc w:val="center"/>
        <w:textAlignment w:val="baseline"/>
        <w:rPr>
          <w:rFonts w:ascii="Times New Roman" w:hAnsi="Times New Roman" w:eastAsia="方正小标宋简体"/>
          <w:color w:val="FF0000"/>
          <w:sz w:val="60"/>
          <w:szCs w:val="60"/>
        </w:rPr>
      </w:pPr>
      <w:r>
        <w:rPr>
          <w:rFonts w:ascii="Times New Roman" w:hAnsi="Times New Roman" w:eastAsia="方正小标宋简体"/>
          <w:color w:val="FF00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8240" behindDoc="0" locked="0" layoutInCell="0" hidden="true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2" name="矩形 2" descr="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" hidden="tru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" style="position:absolute;left:0pt;margin-left:-10pt;margin-top:10pt;height:5pt;width:5pt;mso-position-horizontal-relative:page;mso-position-vertical-relative:page;visibility:hidden;z-index:251658240;mso-width-relative:page;mso-height-relative:page;" fillcolor="#FFFFFF" filled="t" stroked="t" coordsize="21600,21600" o:allowincell="f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方正小标宋简体"/>
          <w:color w:val="FF0000"/>
          <w:sz w:val="60"/>
          <w:szCs w:val="60"/>
        </w:rPr>
        <w:t>广西壮族自治区</w:t>
      </w:r>
    </w:p>
    <w:p>
      <w:pPr>
        <w:tabs>
          <w:tab w:val="left" w:pos="3675"/>
        </w:tabs>
        <w:adjustRightInd w:val="0"/>
        <w:snapToGrid w:val="0"/>
        <w:spacing w:line="1000" w:lineRule="exact"/>
        <w:ind w:right="-1"/>
        <w:jc w:val="center"/>
        <w:textAlignment w:val="baseline"/>
        <w:rPr>
          <w:rFonts w:ascii="Times New Roman" w:hAnsi="Times New Roman" w:eastAsia="方正小标宋简体"/>
          <w:color w:val="FF0000"/>
          <w:sz w:val="60"/>
          <w:szCs w:val="60"/>
        </w:rPr>
      </w:pPr>
      <w:r>
        <w:rPr>
          <w:rFonts w:ascii="Times New Roman" w:hAnsi="Times New Roman" w:eastAsia="方正小标宋简体"/>
          <w:color w:val="FF0000"/>
          <w:sz w:val="60"/>
          <w:szCs w:val="60"/>
        </w:rPr>
        <w:t>柳州市人力资源和社会保障局</w:t>
      </w:r>
    </w:p>
    <w:p>
      <w:pPr>
        <w:spacing w:line="560" w:lineRule="exact"/>
        <w:jc w:val="both"/>
        <w:rPr>
          <w:rFonts w:eastAsia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5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关于对融安县、融水县、三江县引进优秀人才奖励</w:t>
      </w:r>
      <w:r>
        <w:rPr>
          <w:rFonts w:hint="eastAsia" w:eastAsia="方正小标宋简体"/>
          <w:bCs/>
          <w:sz w:val="44"/>
          <w:szCs w:val="44"/>
          <w:lang w:eastAsia="zh-CN"/>
        </w:rPr>
        <w:t>申报</w:t>
      </w:r>
      <w:r>
        <w:rPr>
          <w:rFonts w:eastAsia="方正小标宋简体"/>
          <w:bCs/>
          <w:sz w:val="44"/>
          <w:szCs w:val="44"/>
        </w:rPr>
        <w:t>的通知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50" w:lineRule="exact"/>
        <w:rPr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40" w:firstLineChars="20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了贯彻落实市委、市政府《关于营造人才工作良好氛围的若干规定》（柳发〔2006〕1号）（以下简称“1号文”）精神，鼓励我市各单位引进优秀人才，经研究，决定按照“1号文”规定，对我市融安县、融水县、三江县引进优秀人才的单位进行奖励。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一、奖励对象、条件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29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我市融安县、融水县、三江县三个县于20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年1月1日至12月31日期间从市外引进的</w:t>
      </w:r>
      <w:r>
        <w:rPr>
          <w:rFonts w:hint="eastAsia" w:eastAsia="仿宋_GB2312"/>
          <w:sz w:val="32"/>
          <w:szCs w:val="32"/>
          <w:lang w:eastAsia="zh-CN"/>
        </w:rPr>
        <w:t>全日制</w:t>
      </w:r>
      <w:r>
        <w:rPr>
          <w:rFonts w:eastAsia="仿宋_GB2312"/>
          <w:sz w:val="32"/>
          <w:szCs w:val="32"/>
        </w:rPr>
        <w:t>本科</w:t>
      </w:r>
      <w:r>
        <w:rPr>
          <w:rFonts w:eastAsia="仿宋_GB2312"/>
          <w:spacing w:val="16"/>
          <w:sz w:val="32"/>
          <w:szCs w:val="32"/>
        </w:rPr>
        <w:t>及其以上学历的优秀人才。每引进一名</w:t>
      </w:r>
      <w:r>
        <w:rPr>
          <w:rFonts w:hint="eastAsia" w:eastAsia="仿宋_GB2312"/>
          <w:spacing w:val="16"/>
          <w:sz w:val="32"/>
          <w:szCs w:val="32"/>
          <w:lang w:eastAsia="zh-CN"/>
        </w:rPr>
        <w:t>全日制</w:t>
      </w:r>
      <w:r>
        <w:rPr>
          <w:rFonts w:eastAsia="仿宋_GB2312"/>
          <w:spacing w:val="16"/>
          <w:sz w:val="32"/>
          <w:szCs w:val="32"/>
        </w:rPr>
        <w:t>本科</w:t>
      </w:r>
      <w:r>
        <w:rPr>
          <w:rFonts w:eastAsia="仿宋_GB2312"/>
          <w:spacing w:val="6"/>
          <w:sz w:val="32"/>
          <w:szCs w:val="32"/>
        </w:rPr>
        <w:t>生</w:t>
      </w:r>
      <w:r>
        <w:rPr>
          <w:rFonts w:eastAsia="仿宋_GB2312"/>
          <w:sz w:val="32"/>
          <w:szCs w:val="32"/>
        </w:rPr>
        <w:t>或硕士生</w:t>
      </w:r>
      <w:r>
        <w:rPr>
          <w:rFonts w:hint="eastAsia" w:eastAsia="仿宋_GB2312"/>
          <w:sz w:val="32"/>
          <w:szCs w:val="32"/>
          <w:lang w:eastAsia="zh-CN"/>
        </w:rPr>
        <w:t>（均需取得学历学位）</w:t>
      </w:r>
      <w:r>
        <w:rPr>
          <w:rFonts w:eastAsia="仿宋_GB2312"/>
          <w:sz w:val="32"/>
          <w:szCs w:val="32"/>
        </w:rPr>
        <w:t>并与用人单位签订三年以上劳动合同，至今仍在单位工作的（合同期至20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年12月31日，下同），由市政府分别按本科6000元/人、硕士10000元/人的标准奖励各县，各县再按不低于奖励金额50%的比例奖励被引进者本人（进入县级党政群机关和参公事业单位工作的除外）。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以上奖励资金根据“1号文”规定，由市财政安排解决。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Ansi="黑体"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申报</w:t>
      </w:r>
      <w:r>
        <w:rPr>
          <w:rFonts w:hint="eastAsia" w:hAnsi="黑体" w:eastAsia="黑体"/>
          <w:sz w:val="32"/>
          <w:szCs w:val="32"/>
          <w:lang w:eastAsia="zh-CN"/>
        </w:rPr>
        <w:t>材料和程序</w:t>
      </w:r>
      <w:r>
        <w:rPr>
          <w:rFonts w:hAnsi="黑体" w:eastAsia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42" w:firstLineChars="2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40" w:firstLineChars="20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符合奖励条件的单位和个人，由用人单位提供以下申报材料：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40" w:firstLineChars="20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1.</w:t>
      </w:r>
      <w:r>
        <w:rPr>
          <w:rFonts w:eastAsia="仿宋_GB2312"/>
          <w:sz w:val="32"/>
          <w:szCs w:val="32"/>
        </w:rPr>
        <w:t>填写《柳州市引进优秀人才奖励申请表》（见附件1）一式2份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eastAsia="仿宋_GB2312"/>
          <w:sz w:val="32"/>
          <w:szCs w:val="32"/>
        </w:rPr>
        <w:t>《柳州市引进优秀人才奖励</w:t>
      </w:r>
      <w:r>
        <w:rPr>
          <w:rFonts w:hint="eastAsia" w:eastAsia="仿宋_GB2312"/>
          <w:sz w:val="32"/>
          <w:szCs w:val="32"/>
          <w:lang w:eastAsia="zh-CN"/>
        </w:rPr>
        <w:t>汇总</w:t>
      </w:r>
      <w:r>
        <w:rPr>
          <w:rFonts w:eastAsia="仿宋_GB2312"/>
          <w:sz w:val="32"/>
          <w:szCs w:val="32"/>
        </w:rPr>
        <w:t>表》（见附件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）一式1份，并发送</w:t>
      </w:r>
      <w:r>
        <w:rPr>
          <w:rFonts w:hint="eastAsia" w:eastAsia="仿宋_GB2312"/>
          <w:sz w:val="32"/>
          <w:szCs w:val="32"/>
          <w:lang w:eastAsia="zh-CN"/>
        </w:rPr>
        <w:t>可编辑</w:t>
      </w:r>
      <w:r>
        <w:rPr>
          <w:rFonts w:eastAsia="仿宋_GB2312"/>
          <w:sz w:val="32"/>
          <w:szCs w:val="32"/>
        </w:rPr>
        <w:t>电子版至电子邮箱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lzrszjk@126.com</w:t>
      </w:r>
      <w:r>
        <w:rPr>
          <w:rFonts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2.</w:t>
      </w:r>
      <w:r>
        <w:rPr>
          <w:rFonts w:eastAsia="仿宋_GB2312"/>
          <w:sz w:val="32"/>
          <w:szCs w:val="32"/>
        </w:rPr>
        <w:t>被引进人才本人身份证、在</w:t>
      </w:r>
      <w:r>
        <w:rPr>
          <w:rFonts w:hint="eastAsia" w:eastAsia="仿宋_GB2312"/>
          <w:sz w:val="32"/>
          <w:szCs w:val="32"/>
          <w:lang w:eastAsia="zh-CN"/>
        </w:rPr>
        <w:t>本县</w:t>
      </w:r>
      <w:r>
        <w:rPr>
          <w:rFonts w:eastAsia="仿宋_GB2312"/>
          <w:sz w:val="32"/>
          <w:szCs w:val="32"/>
        </w:rPr>
        <w:t>居住证明（户口簿或居住证、租房合同等其中之一）、</w:t>
      </w:r>
      <w:r>
        <w:rPr>
          <w:rFonts w:hint="eastAsia" w:eastAsia="仿宋_GB2312"/>
          <w:sz w:val="32"/>
          <w:szCs w:val="32"/>
          <w:lang w:eastAsia="zh-CN"/>
        </w:rPr>
        <w:t>学历</w:t>
      </w:r>
      <w:r>
        <w:rPr>
          <w:rFonts w:eastAsia="仿宋_GB2312"/>
          <w:bCs/>
          <w:sz w:val="32"/>
          <w:szCs w:val="32"/>
        </w:rPr>
        <w:t>学位证书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eastAsia="zh-CN"/>
        </w:rPr>
        <w:t>教育部学历证书电子注册备案表、</w:t>
      </w:r>
      <w:r>
        <w:rPr>
          <w:rFonts w:eastAsia="仿宋_GB2312"/>
          <w:sz w:val="32"/>
          <w:szCs w:val="32"/>
        </w:rPr>
        <w:t>与用人单位签订的劳动合同，</w:t>
      </w:r>
      <w:r>
        <w:rPr>
          <w:rFonts w:hint="eastAsia" w:eastAsia="仿宋_GB2312"/>
          <w:sz w:val="32"/>
          <w:szCs w:val="32"/>
          <w:lang w:eastAsia="zh-CN"/>
        </w:rPr>
        <w:t>以上材料复印件</w:t>
      </w:r>
      <w:r>
        <w:rPr>
          <w:rFonts w:eastAsia="仿宋_GB2312"/>
          <w:sz w:val="32"/>
          <w:szCs w:val="32"/>
        </w:rPr>
        <w:t>一式1份；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</w:t>
      </w:r>
      <w:r>
        <w:rPr>
          <w:rFonts w:eastAsia="仿宋_GB2312"/>
          <w:sz w:val="32"/>
          <w:szCs w:val="32"/>
        </w:rPr>
        <w:t>企业营业执照副本</w:t>
      </w:r>
      <w:r>
        <w:rPr>
          <w:rFonts w:hint="eastAsia" w:eastAsia="仿宋_GB2312"/>
          <w:sz w:val="32"/>
          <w:szCs w:val="32"/>
          <w:lang w:eastAsia="zh-CN"/>
        </w:rPr>
        <w:t>或事业单位法人证书复印件</w:t>
      </w:r>
      <w:r>
        <w:rPr>
          <w:rFonts w:eastAsia="仿宋_GB2312"/>
          <w:sz w:val="32"/>
          <w:szCs w:val="32"/>
        </w:rPr>
        <w:t>，一式1份</w:t>
      </w:r>
      <w:r>
        <w:rPr>
          <w:rFonts w:hint="eastAsia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4.</w:t>
      </w:r>
      <w:r>
        <w:rPr>
          <w:rFonts w:eastAsia="仿宋_GB2312"/>
          <w:sz w:val="32"/>
          <w:szCs w:val="32"/>
        </w:rPr>
        <w:t>由所在单位对</w:t>
      </w:r>
      <w:r>
        <w:rPr>
          <w:rFonts w:hint="eastAsia" w:eastAsia="仿宋_GB2312"/>
          <w:sz w:val="32"/>
          <w:szCs w:val="32"/>
          <w:lang w:eastAsia="zh-CN"/>
        </w:rPr>
        <w:t>申请人</w:t>
      </w:r>
      <w:r>
        <w:rPr>
          <w:rFonts w:eastAsia="仿宋_GB2312"/>
          <w:sz w:val="32"/>
          <w:szCs w:val="32"/>
        </w:rPr>
        <w:t>情况进行公示（5个工作日）并报送公示结果情况说明</w:t>
      </w:r>
      <w:r>
        <w:rPr>
          <w:rFonts w:hint="eastAsia" w:eastAsia="仿宋_GB2312"/>
          <w:sz w:val="32"/>
          <w:szCs w:val="32"/>
          <w:lang w:eastAsia="zh-CN"/>
        </w:rPr>
        <w:t>纸质盖章版</w:t>
      </w:r>
      <w:r>
        <w:rPr>
          <w:rFonts w:eastAsia="仿宋_GB2312"/>
          <w:sz w:val="32"/>
          <w:szCs w:val="32"/>
        </w:rPr>
        <w:t>，一式1份。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以上相关表格可在柳州市人力资源和社会保障网（http://rsj.liuzhou.gov.cn/）下载，</w:t>
      </w:r>
      <w:r>
        <w:rPr>
          <w:rFonts w:hint="eastAsia" w:eastAsia="仿宋_GB2312"/>
          <w:sz w:val="32"/>
          <w:szCs w:val="32"/>
          <w:lang w:eastAsia="zh-CN"/>
        </w:rPr>
        <w:t>申报</w:t>
      </w:r>
      <w:r>
        <w:rPr>
          <w:rFonts w:eastAsia="仿宋_GB2312"/>
          <w:sz w:val="32"/>
          <w:szCs w:val="32"/>
        </w:rPr>
        <w:t>材料需由所在单位</w:t>
      </w:r>
      <w:r>
        <w:rPr>
          <w:rFonts w:hint="eastAsia" w:eastAsia="仿宋_GB2312"/>
          <w:sz w:val="32"/>
          <w:szCs w:val="32"/>
          <w:lang w:eastAsia="zh-CN"/>
        </w:rPr>
        <w:t>核实原件并盖章确认。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申报程序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40" w:firstLineChars="200"/>
        <w:jc w:val="both"/>
        <w:textAlignment w:val="baseline"/>
        <w:rPr>
          <w:rFonts w:hint="eastAsia" w:eastAsia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用人单位将申报材料</w:t>
      </w:r>
      <w:r>
        <w:rPr>
          <w:rFonts w:eastAsia="仿宋_GB2312"/>
          <w:sz w:val="32"/>
          <w:szCs w:val="32"/>
        </w:rPr>
        <w:t>报</w:t>
      </w:r>
      <w:r>
        <w:rPr>
          <w:rFonts w:hint="eastAsia" w:eastAsia="仿宋_GB2312"/>
          <w:sz w:val="32"/>
          <w:szCs w:val="32"/>
          <w:lang w:eastAsia="zh-CN"/>
        </w:rPr>
        <w:t>至县人力资源社会保障局，</w:t>
      </w:r>
      <w:r>
        <w:rPr>
          <w:rFonts w:hint="eastAsia" w:eastAsia="仿宋_GB2312"/>
          <w:sz w:val="32"/>
          <w:szCs w:val="32"/>
          <w:lang w:val="en-US" w:eastAsia="zh-CN"/>
        </w:rPr>
        <w:t>县人力资源社会保障局汇总初审后于2023年10月17日前将纸质版材料报至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市人力资源社会保障局。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Ansi="黑体" w:eastAsia="黑体"/>
          <w:color w:val="auto"/>
          <w:sz w:val="32"/>
          <w:szCs w:val="32"/>
          <w:u w:val="none"/>
        </w:rPr>
      </w:pPr>
      <w:r>
        <w:rPr>
          <w:rFonts w:hAnsi="黑体" w:eastAsia="黑体"/>
          <w:color w:val="auto"/>
          <w:sz w:val="32"/>
          <w:szCs w:val="32"/>
          <w:u w:val="none"/>
        </w:rPr>
        <w:t>奖励的发放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int="eastAsia" w:eastAsia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市人力资源社会保障局</w:t>
      </w:r>
      <w:r>
        <w:rPr>
          <w:rFonts w:eastAsia="仿宋_GB2312"/>
          <w:color w:val="auto"/>
          <w:sz w:val="32"/>
          <w:szCs w:val="32"/>
          <w:u w:val="none"/>
        </w:rPr>
        <w:t>将奖励经费划拨到县人力资源社会保障局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，由县人力资源社会保障局拨付到用人单位，用人单位发放给申请人。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Ansi="黑体"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四、管理和监督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（一）发放的奖励属</w:t>
      </w:r>
      <w:r>
        <w:rPr>
          <w:rFonts w:hint="eastAsia" w:eastAsia="仿宋_GB2312"/>
          <w:sz w:val="32"/>
          <w:szCs w:val="32"/>
          <w:lang w:eastAsia="zh-CN"/>
        </w:rPr>
        <w:t>各</w:t>
      </w:r>
      <w:r>
        <w:rPr>
          <w:rFonts w:eastAsia="仿宋_GB2312"/>
          <w:sz w:val="32"/>
          <w:szCs w:val="32"/>
        </w:rPr>
        <w:t>县的部分，作为</w:t>
      </w:r>
      <w:r>
        <w:rPr>
          <w:rFonts w:hint="eastAsia" w:eastAsia="仿宋_GB2312"/>
          <w:sz w:val="32"/>
          <w:szCs w:val="32"/>
          <w:lang w:eastAsia="zh-CN"/>
        </w:rPr>
        <w:t>各</w:t>
      </w:r>
      <w:r>
        <w:rPr>
          <w:rFonts w:eastAsia="仿宋_GB2312"/>
          <w:sz w:val="32"/>
          <w:szCs w:val="32"/>
        </w:rPr>
        <w:t>县人才工作专项经费，专款专用。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（二）市人力资源社会保障局负责编制每年的经费预算，对申请引进优秀人才奖励的单位和人员进行审核；配合市财政局对经费进行管理和监督。引进优秀人才奖励经费纳入市财政年度预算，专款专用。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eastAsia="zh-CN"/>
        </w:rPr>
        <w:t>五</w:t>
      </w:r>
      <w:r>
        <w:rPr>
          <w:rFonts w:hAnsi="黑体" w:eastAsia="黑体"/>
          <w:sz w:val="32"/>
          <w:szCs w:val="32"/>
        </w:rPr>
        <w:t>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楷体" w:cs="楷体"/>
          <w:b/>
          <w:bCs/>
          <w:snapToGrid w:val="0"/>
          <w:spacing w:val="0"/>
          <w:kern w:val="0"/>
          <w:sz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lang w:eastAsia="zh-CN"/>
        </w:rPr>
        <w:t>联系人：</w:t>
      </w:r>
      <w:r>
        <w:rPr>
          <w:rFonts w:hint="eastAsia" w:eastAsia="仿宋_GB2312"/>
          <w:color w:val="auto"/>
          <w:spacing w:val="0"/>
          <w:sz w:val="32"/>
          <w:szCs w:val="32"/>
          <w:lang w:eastAsia="zh-CN"/>
        </w:rPr>
        <w:t>冼婷婷、黄雅麒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lang w:val="en-US" w:eastAsia="zh-CN"/>
        </w:rPr>
        <w:t>，联系电话：</w:t>
      </w:r>
      <w:r>
        <w:rPr>
          <w:rFonts w:hint="eastAsia" w:ascii="Times New Roman" w:hAnsi="Times New Roman" w:eastAsia="仿宋_GB2312"/>
          <w:spacing w:val="0"/>
          <w:sz w:val="32"/>
          <w:szCs w:val="32"/>
          <w:lang w:val="en-US" w:eastAsia="zh-CN"/>
        </w:rPr>
        <w:t>0772-2828543。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napToGrid w:val="0"/>
          <w:spacing w:val="0"/>
          <w:kern w:val="0"/>
          <w:sz w:val="32"/>
          <w:lang w:eastAsia="zh-CN"/>
        </w:rPr>
        <w:t>地址：柳州市城中区高新一路北一巷</w:t>
      </w:r>
      <w:r>
        <w:rPr>
          <w:rFonts w:hint="eastAsia" w:ascii="Times New Roman" w:hAnsi="Times New Roman" w:eastAsia="仿宋_GB2312" w:cs="仿宋_GB2312"/>
          <w:b w:val="0"/>
          <w:bCs w:val="0"/>
          <w:snapToGrid w:val="0"/>
          <w:spacing w:val="0"/>
          <w:kern w:val="0"/>
          <w:sz w:val="32"/>
          <w:lang w:val="en-US" w:eastAsia="zh-CN"/>
        </w:rPr>
        <w:t>7号市人力资源社会保障局专业技术人员管理科（10楼1019室）。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jc w:val="both"/>
        <w:textAlignment w:val="baseline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63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附件：1.柳州市引进优秀人才奖励申请表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1914" w:leftChars="759" w:hanging="320" w:hangingChars="100"/>
        <w:jc w:val="both"/>
        <w:textAlignment w:val="baseline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.柳州市引进优秀人才奖励</w:t>
      </w:r>
      <w:r>
        <w:rPr>
          <w:rFonts w:hint="eastAsia" w:eastAsia="仿宋_GB2312"/>
          <w:sz w:val="32"/>
          <w:szCs w:val="32"/>
          <w:lang w:eastAsia="zh-CN"/>
        </w:rPr>
        <w:t>申请情况汇总</w:t>
      </w:r>
      <w:r>
        <w:rPr>
          <w:rFonts w:eastAsia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jc w:val="both"/>
        <w:textAlignment w:val="baseline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jc w:val="both"/>
        <w:textAlignment w:val="baseline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firstLine="3840" w:firstLineChars="1200"/>
        <w:jc w:val="right"/>
        <w:textAlignment w:val="baseline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柳州市人力资源和社会保障局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日</w:t>
      </w:r>
    </w:p>
    <w:p>
      <w:pPr>
        <w:snapToGrid w:val="0"/>
        <w:spacing w:line="440" w:lineRule="exact"/>
        <w:jc w:val="both"/>
        <w:rPr>
          <w:rFonts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  <w:r>
        <w:rPr>
          <w:rFonts w:ascii="Times New Roman" w:hAnsi="Times New Roman" w:eastAsia="黑体"/>
          <w:color w:val="000000"/>
          <w:sz w:val="32"/>
          <w:szCs w:val="32"/>
        </w:rPr>
        <w:t>政府信息公开选项：</w:t>
      </w:r>
      <w:bookmarkStart w:id="1" w:name="_GoBack"/>
      <w:bookmarkEnd w:id="1"/>
      <w:r>
        <w:rPr>
          <w:rFonts w:hint="eastAsia" w:eastAsia="方正小标宋简体"/>
          <w:color w:val="000000"/>
          <w:sz w:val="32"/>
          <w:szCs w:val="32"/>
          <w:lang w:eastAsia="zh-CN"/>
        </w:rPr>
        <w:t>主动</w:t>
      </w:r>
      <w:r>
        <w:rPr>
          <w:rFonts w:ascii="Times New Roman" w:hAnsi="Times New Roman" w:eastAsia="方正小标宋简体"/>
          <w:color w:val="000000"/>
          <w:sz w:val="32"/>
          <w:szCs w:val="32"/>
        </w:rPr>
        <w:t>公开</w:t>
      </w: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1417" w:gutter="0"/>
      <w:pgNumType w:fmt="numberInDash" w:chapSep="em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宋体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Batang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Batang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宋体" w:hAnsi="Batang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Batang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宋体" w:hAnsi="Batang"/>
                              <w:sz w:val="28"/>
                              <w:szCs w:val="28"/>
                            </w:rPr>
                            <w:t>- 5 -</w:t>
                          </w:r>
                          <w:r>
                            <w:rPr>
                              <w:rFonts w:ascii="宋体" w:hAnsi="Batang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Batang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ascii="宋体" w:hAnsi="Batang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Batang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ascii="宋体" w:hAnsi="Batang"/>
                        <w:sz w:val="28"/>
                        <w:szCs w:val="28"/>
                      </w:rPr>
                      <w:t>- 5 -</w:t>
                    </w:r>
                    <w:r>
                      <w:rPr>
                        <w:rFonts w:ascii="宋体" w:hAnsi="Batang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Batang"/>
        <w:sz w:val="28"/>
        <w:szCs w:val="28"/>
      </w:rPr>
    </w:pPr>
    <w:r>
      <w:rPr>
        <w:rFonts w:ascii="宋体" w:hAnsi="Batang"/>
        <w:sz w:val="28"/>
        <w:szCs w:val="28"/>
      </w:rPr>
      <w:fldChar w:fldCharType="begin"/>
    </w:r>
    <w:r>
      <w:rPr>
        <w:rStyle w:val="10"/>
        <w:rFonts w:ascii="宋体" w:hAnsi="Batang"/>
        <w:sz w:val="28"/>
        <w:szCs w:val="28"/>
      </w:rPr>
      <w:instrText xml:space="preserve">PAGE  </w:instrText>
    </w:r>
    <w:r>
      <w:rPr>
        <w:rFonts w:ascii="宋体" w:hAnsi="Batang"/>
        <w:sz w:val="28"/>
        <w:szCs w:val="28"/>
      </w:rPr>
      <w:fldChar w:fldCharType="separate"/>
    </w:r>
    <w:r>
      <w:rPr>
        <w:rStyle w:val="10"/>
        <w:rFonts w:ascii="宋体" w:hAnsi="Batang"/>
        <w:sz w:val="28"/>
        <w:szCs w:val="28"/>
      </w:rPr>
      <w:t>- 2 -</w:t>
    </w:r>
    <w:r>
      <w:rPr>
        <w:rFonts w:ascii="宋体" w:hAnsi="Batang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 4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A7E56B"/>
    <w:multiLevelType w:val="singleLevel"/>
    <w:tmpl w:val="B0A7E56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7A740A4"/>
    <w:multiLevelType w:val="singleLevel"/>
    <w:tmpl w:val="C7A740A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2E9F69D"/>
    <w:multiLevelType w:val="singleLevel"/>
    <w:tmpl w:val="32E9F69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16"/>
    <w:rsid w:val="00075D16"/>
    <w:rsid w:val="00FD53F5"/>
    <w:rsid w:val="011867C4"/>
    <w:rsid w:val="022D09BA"/>
    <w:rsid w:val="02414338"/>
    <w:rsid w:val="096F2AFB"/>
    <w:rsid w:val="09771758"/>
    <w:rsid w:val="104E546E"/>
    <w:rsid w:val="1B35335D"/>
    <w:rsid w:val="272C303E"/>
    <w:rsid w:val="31633956"/>
    <w:rsid w:val="35514A6B"/>
    <w:rsid w:val="35DB03B5"/>
    <w:rsid w:val="403801D3"/>
    <w:rsid w:val="41683127"/>
    <w:rsid w:val="44684703"/>
    <w:rsid w:val="4E5B256E"/>
    <w:rsid w:val="4F6F6BB7"/>
    <w:rsid w:val="61E12DC5"/>
    <w:rsid w:val="62A02D29"/>
    <w:rsid w:val="6DDAD2B9"/>
    <w:rsid w:val="71A9162A"/>
    <w:rsid w:val="7BC8142F"/>
    <w:rsid w:val="7EBB556A"/>
    <w:rsid w:val="F5FB3692"/>
    <w:rsid w:val="FBB9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before="60" w:after="120" w:line="560" w:lineRule="exact"/>
      <w:jc w:val="center"/>
      <w:outlineLvl w:val="0"/>
    </w:pPr>
    <w:rPr>
      <w:rFonts w:eastAsia="方正小标宋简体"/>
      <w:bCs/>
      <w:sz w:val="44"/>
    </w:rPr>
  </w:style>
  <w:style w:type="paragraph" w:styleId="4">
    <w:name w:val="Body Text"/>
    <w:basedOn w:val="1"/>
    <w:qFormat/>
    <w:uiPriority w:val="0"/>
    <w:pPr>
      <w:spacing w:line="660" w:lineRule="exact"/>
      <w:jc w:val="center"/>
    </w:pPr>
    <w:rPr>
      <w:rFonts w:ascii="方正小标宋_GBK" w:hAnsi="黑体" w:eastAsia="方正小标宋_GBK"/>
      <w:sz w:val="44"/>
    </w:rPr>
  </w:style>
  <w:style w:type="paragraph" w:styleId="5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First Indent"/>
    <w:basedOn w:val="4"/>
    <w:qFormat/>
    <w:uiPriority w:val="0"/>
    <w:pPr>
      <w:spacing w:line="360" w:lineRule="auto"/>
      <w:ind w:firstLine="720" w:firstLineChars="200"/>
      <w:jc w:val="left"/>
    </w:pPr>
    <w:rPr>
      <w:rFonts w:cs="宋体"/>
      <w:szCs w:val="2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348</Words>
  <Characters>1984</Characters>
  <Lines>16</Lines>
  <Paragraphs>4</Paragraphs>
  <TotalTime>1</TotalTime>
  <ScaleCrop>false</ScaleCrop>
  <LinksUpToDate>false</LinksUpToDate>
  <CharactersWithSpaces>2328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2021-07-23T00:45:00Z</dcterms:created>
  <dc:creator>赵昕</dc:creator>
  <cp:lastModifiedBy>gxxc</cp:lastModifiedBy>
  <dcterms:modified xsi:type="dcterms:W3CDTF">2023-10-08T08:32:10Z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