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融水2021年</w:t>
      </w:r>
      <w:r>
        <w:rPr>
          <w:rFonts w:hint="eastAsia" w:ascii="黑体" w:hAnsi="黑体" w:eastAsia="黑体"/>
          <w:sz w:val="36"/>
          <w:szCs w:val="36"/>
          <w:lang w:eastAsia="zh-CN"/>
        </w:rPr>
        <w:t>一</w:t>
      </w:r>
      <w:r>
        <w:rPr>
          <w:rFonts w:hint="eastAsia" w:ascii="黑体" w:hAnsi="黑体" w:eastAsia="黑体"/>
          <w:sz w:val="36"/>
          <w:szCs w:val="36"/>
        </w:rPr>
        <w:t>季度经济实现良好开局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 xml:space="preserve">2021 </w:t>
      </w:r>
      <w:r>
        <w:rPr>
          <w:rFonts w:hint="eastAsia" w:ascii="仿宋_GB2312" w:eastAsia="仿宋_GB2312"/>
          <w:color w:val="000000"/>
          <w:sz w:val="32"/>
          <w:szCs w:val="32"/>
        </w:rPr>
        <w:t>年是“十四五”规划开局之年，融水经济已全面复苏，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color w:val="000000"/>
          <w:sz w:val="32"/>
          <w:szCs w:val="32"/>
        </w:rPr>
        <w:t>季度实现良好开局。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初步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核算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一季度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地区生产总值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32.13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亿元，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按可比价格计算，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同比增长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23.9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%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，两年平均增长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5.1%。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分产业看，第一产业增加值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2.39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亿元，同比增长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3.7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%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，两年平均下降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1.2%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；第二产业增加值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8.78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亿元，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同比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增长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53.0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两年平均增长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1.3%，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其中工业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增加值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6.41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亿元，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同比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增长28.3%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，两年平均下降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2.1%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；第三产业增加值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20.97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亿元，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同比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增长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17.3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%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，两年平均增长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8.0%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一、经济运行情况及特点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</w:rPr>
        <w:t>农业生产平稳增长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0" w:firstLineChars="200"/>
        <w:contextualSpacing/>
        <w:textAlignment w:val="auto"/>
        <w:rPr>
          <w:rFonts w:hint="eastAsia" w:ascii="仿宋_GB2312" w:hAnsi="新宋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一季度，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实现农林牧渔业总产值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4.82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亿元，同比增长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4.6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%。</w:t>
      </w:r>
      <w:r>
        <w:rPr>
          <w:rFonts w:hint="eastAsia" w:ascii="仿宋_GB2312" w:hAnsi="宋体" w:eastAsia="仿宋_GB2312" w:cs="宋体"/>
          <w:sz w:val="32"/>
          <w:szCs w:val="32"/>
        </w:rPr>
        <w:t>其中，农业产值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1.55</w:t>
      </w:r>
      <w:r>
        <w:rPr>
          <w:rFonts w:hint="eastAsia" w:ascii="仿宋_GB2312" w:hAnsi="宋体" w:eastAsia="仿宋_GB2312" w:cs="宋体"/>
          <w:sz w:val="32"/>
          <w:szCs w:val="32"/>
        </w:rPr>
        <w:t>亿元，增长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5.0</w:t>
      </w:r>
      <w:r>
        <w:rPr>
          <w:rFonts w:hint="eastAsia" w:ascii="仿宋_GB2312" w:hAnsi="宋体" w:eastAsia="仿宋_GB2312" w:cs="宋体"/>
          <w:sz w:val="32"/>
          <w:szCs w:val="32"/>
        </w:rPr>
        <w:t>%；林业产值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0.54</w:t>
      </w:r>
      <w:r>
        <w:rPr>
          <w:rFonts w:hint="eastAsia" w:ascii="仿宋_GB2312" w:hAnsi="宋体" w:eastAsia="仿宋_GB2312" w:cs="宋体"/>
          <w:sz w:val="32"/>
          <w:szCs w:val="32"/>
        </w:rPr>
        <w:t>亿元，增长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6.1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%；牧业产值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2.49</w:t>
      </w:r>
      <w:r>
        <w:rPr>
          <w:rFonts w:hint="eastAsia" w:ascii="仿宋_GB2312" w:hAnsi="宋体" w:eastAsia="仿宋_GB2312" w:cs="宋体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4.2</w:t>
      </w:r>
      <w:r>
        <w:rPr>
          <w:rFonts w:hint="eastAsia" w:ascii="仿宋_GB2312" w:hAnsi="宋体" w:eastAsia="仿宋_GB2312" w:cs="宋体"/>
          <w:sz w:val="32"/>
          <w:szCs w:val="32"/>
        </w:rPr>
        <w:t>％；渔业产值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0.14</w:t>
      </w:r>
      <w:r>
        <w:rPr>
          <w:rFonts w:hint="eastAsia" w:ascii="仿宋_GB2312" w:hAnsi="宋体" w:eastAsia="仿宋_GB2312" w:cs="宋体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4.9</w:t>
      </w:r>
      <w:r>
        <w:rPr>
          <w:rFonts w:hint="eastAsia" w:ascii="仿宋_GB2312" w:hAnsi="宋体" w:eastAsia="仿宋_GB2312" w:cs="宋体"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农林牧渔业增加值2.47</w:t>
      </w:r>
      <w:r>
        <w:rPr>
          <w:rFonts w:hint="eastAsia" w:ascii="仿宋_GB2312" w:hAnsi="新宋体" w:eastAsia="仿宋_GB2312"/>
          <w:sz w:val="32"/>
          <w:szCs w:val="32"/>
        </w:rPr>
        <w:t>亿元，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同比增长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3.8</w:t>
      </w:r>
      <w:r>
        <w:rPr>
          <w:rFonts w:hint="eastAsia" w:ascii="仿宋_GB2312" w:hAnsi="新宋体" w:eastAsia="仿宋_GB2312"/>
          <w:sz w:val="32"/>
          <w:szCs w:val="32"/>
        </w:rPr>
        <w:t xml:space="preserve"> %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eastAsia="楷体_GB2312"/>
          <w:b/>
          <w:bCs/>
          <w:color w:val="000000"/>
          <w:sz w:val="32"/>
          <w:szCs w:val="32"/>
          <w:shd w:val="clear" w:color="auto" w:fill="FFFFFF"/>
        </w:rPr>
        <w:t>工业生产</w:t>
      </w:r>
      <w:r>
        <w:rPr>
          <w:rFonts w:hint="eastAsia" w:ascii="楷体_GB2312" w:eastAsia="楷体_GB2312"/>
          <w:b/>
          <w:bCs/>
          <w:color w:val="000000"/>
          <w:sz w:val="32"/>
          <w:szCs w:val="32"/>
          <w:shd w:val="clear" w:color="auto" w:fill="FFFFFF"/>
          <w:lang w:eastAsia="zh-CN"/>
        </w:rPr>
        <w:t>稳步回暖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一季度，全部工业总产值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15.1亿元，同比增长87.5%，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两年平均增长2.5%。其中，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规模以上工业总产值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13.35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亿元，同比增长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101.6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%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两年平均增长1.8%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规模以上工业增加值同比增长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93.2%，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两年平均增长0.2%。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分三大门类看，采矿业同期没有数据；制造业增加值同比增长125.3%，两年平均增长1.0%；电力、热力、燃气及水生产供应业增加值同比增长8.8%，两年平均增长5.0%。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服务业恢复性增长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0" w:firstLineChars="200"/>
        <w:contextualSpacing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一季度，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服务业增加值同比增长17.3%，两年平均增长8.0%。</w:t>
      </w:r>
      <w:r>
        <w:rPr>
          <w:rFonts w:hint="eastAsia" w:ascii="仿宋_GB2312" w:eastAsia="仿宋_GB2312"/>
          <w:sz w:val="32"/>
          <w:szCs w:val="32"/>
          <w:lang w:eastAsia="zh-CN"/>
        </w:rPr>
        <w:t>其中，交通运输、仓储和邮政业增加值增长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44.7%，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两年平均增长3.8%；</w:t>
      </w:r>
      <w:r>
        <w:rPr>
          <w:rFonts w:hint="eastAsia" w:ascii="仿宋_GB2312" w:eastAsia="仿宋_GB2312"/>
          <w:sz w:val="32"/>
          <w:szCs w:val="32"/>
          <w:lang w:eastAsia="zh-CN"/>
        </w:rPr>
        <w:t>批发和零售业增长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37.8%，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两年平均增长2.7%；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金融业增长9.1%，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两年平均增长3.3%；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房地产业增长5.1%，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两年平均增长5.2%；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其他服务业增长12.8%，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两年平均增长12.2%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。1-2月，营利性服务业营业收入同比增长88.2%，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两年平均下降8.3%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3" w:firstLineChars="200"/>
        <w:contextualSpacing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消费品市场平稳增长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0" w:firstLineChars="200"/>
        <w:contextualSpacing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一季度，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实现社会消费品零售总额11.58亿元，同比增长67.9%，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两年平均增长11.4%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。按销售单位所在地分，城镇消费品零售额7.28亿元，增长76.6%，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两年平均增长14.5%；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乡村消费品零售额4.3亿元，增长54.9%，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两年平均增长6.6%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 按消费形态分，餐饮收入1.06亿元，增长66.6%，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两年平均增长5.9%，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商品零售10.52亿元，增长68.1%，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两年平均增长12.0%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3" w:firstLineChars="200"/>
        <w:contextualSpacing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固定资产投资增长强劲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一季度，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固定资产投资同比增长37.1%。其中，5000万以上项目投资增长59.9%，500-5000万项目投资下降8.5%，房地产投资1.94亿元，下降20.6%。工业投资下降41.5%。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0" w:firstLineChars="200"/>
        <w:contextualSpacing/>
        <w:textAlignment w:val="auto"/>
        <w:rPr>
          <w:rFonts w:hint="eastAsia" w:ascii="仿宋_GB2312" w:hAnsi="新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分产业看，第一产业投资同比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下降93.2%，第二产业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投资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下降41.5%，第三产业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投资增长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增长170.3%。民间投资增长298.4%。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新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全县商品房销售面积7.07万平方米，同比增长11.0%。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3" w:firstLineChars="200"/>
        <w:contextualSpacing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（六）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财政收入平稳增长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0" w:firstLineChars="200"/>
        <w:contextualSpacing/>
        <w:textAlignment w:val="auto"/>
        <w:rPr>
          <w:rFonts w:hint="eastAsia" w:ascii="仿宋_GB2312" w:hAnsi="新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一季度，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财政收入3.1亿元，同比增长8.3%。其中，公共财政预算收入2.38亿元，增长5.9%。一般预算支出8.99亿元，同比增长4.9%。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0" w:rightChars="-100" w:firstLine="643" w:firstLineChars="200"/>
        <w:contextualSpacing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（七）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金融信贷平稳运行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3月末，</w:t>
      </w:r>
      <w:r>
        <w:rPr>
          <w:rFonts w:hint="eastAsia" w:ascii="仿宋_GB2312" w:eastAsia="仿宋_GB2312"/>
          <w:sz w:val="32"/>
          <w:szCs w:val="32"/>
        </w:rPr>
        <w:t>全县金融机构人民币存款余额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155.06</w:t>
      </w:r>
      <w:r>
        <w:rPr>
          <w:rFonts w:hint="eastAsia" w:ascii="仿宋_GB2312" w:eastAsia="仿宋_GB2312"/>
          <w:sz w:val="32"/>
          <w:szCs w:val="32"/>
        </w:rPr>
        <w:t>亿元，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</w:t>
      </w:r>
      <w:r>
        <w:rPr>
          <w:rFonts w:hint="eastAsia" w:ascii="仿宋_GB2312" w:eastAsia="仿宋_GB2312"/>
          <w:sz w:val="32"/>
          <w:szCs w:val="32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9.5</w:t>
      </w:r>
      <w:r>
        <w:rPr>
          <w:rFonts w:hint="eastAsia" w:ascii="仿宋_GB2312" w:eastAsia="仿宋_GB2312"/>
          <w:sz w:val="32"/>
          <w:szCs w:val="32"/>
        </w:rPr>
        <w:t>%，人民币贷款余额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134.75</w:t>
      </w:r>
      <w:r>
        <w:rPr>
          <w:rFonts w:hint="eastAsia" w:ascii="仿宋_GB2312" w:eastAsia="仿宋_GB2312"/>
          <w:sz w:val="32"/>
          <w:szCs w:val="32"/>
        </w:rPr>
        <w:t>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24.9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（八）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城乡居民收入保持增长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一季度，</w:t>
      </w:r>
      <w:r>
        <w:rPr>
          <w:rFonts w:hint="eastAsia" w:ascii="仿宋_GB2312" w:eastAsia="仿宋_GB2312"/>
          <w:sz w:val="32"/>
          <w:szCs w:val="32"/>
          <w:lang w:eastAsia="zh-CN"/>
        </w:rPr>
        <w:t>城乡居民人均可支配收入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6490元，同比增长13.4%。其中，</w:t>
      </w:r>
      <w:r>
        <w:rPr>
          <w:rFonts w:hint="eastAsia" w:ascii="仿宋_GB2312" w:eastAsia="仿宋_GB2312"/>
          <w:sz w:val="32"/>
          <w:szCs w:val="32"/>
          <w:lang w:eastAsia="zh-CN"/>
        </w:rPr>
        <w:t>城镇居民人均可支配收入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9766元，增长10.8%。</w:t>
      </w:r>
      <w:r>
        <w:rPr>
          <w:rFonts w:hint="eastAsia" w:ascii="仿宋_GB2312" w:eastAsia="仿宋_GB2312"/>
          <w:sz w:val="32"/>
          <w:szCs w:val="32"/>
          <w:lang w:eastAsia="zh-CN"/>
        </w:rPr>
        <w:t>农村居民人均可支配收入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4681元，增长14.7%。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二、需要关注的问题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正确看待GDP增速。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一方面，一季度GDP同比增长23.9%，主要是受到上年较低基数这个不可比因素影响；另一方面，两年平均增长5.1%，表明全县经济呈现稳定恢复态势。同时要看到，疫情变化和外部环境存在诸多不确定性，经济恢复的基础还不牢固，经济发展中又出现新情况新问题，全年GDP增速呈前高后低趋势成定局。下一步，全县各职能部门要扎实推进各项经济工作，保持经济稳步发展，确保“十四五”开好局，起好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扩大畜牧业规模养殖。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一季度，柳州市生猪出栏同比增长29.8%，生猪产能加快恢复，与全国趋势一致。但融水县生猪出栏同比增长0.5%，原因是一季度全县规模养殖生猪出栏仅1.5万头，与融安等周边县比较，相差甚远。现行统计制度下，规模养殖作为数据评估主要依据，占70%以上。建议农业部门扩大发展畜牧业规模养殖，确保畜牧业产值增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加强林木的培育和种植面积的统计。</w:t>
      </w: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一季度，林木的培育和种植产值同比下降59.6%，对林业产值影响较大。建议林业部门加强数据采集工作，做到应统尽统。</w:t>
      </w:r>
    </w:p>
    <w:p>
      <w:pPr>
        <w:spacing w:line="560" w:lineRule="exact"/>
        <w:ind w:firstLine="643" w:firstLineChars="200"/>
        <w:rPr>
          <w:rFonts w:hint="eastAsia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继续抓好“四上企业”上规入统工作。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eastAsia="zh-CN" w:bidi="en-US"/>
        </w:rPr>
        <w:t>截止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  <w:t>3月底，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eastAsia="zh-CN" w:bidi="en-US"/>
        </w:rPr>
        <w:t>全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bidi="en-US"/>
        </w:rPr>
        <w:t>县上规入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库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  <w:t>13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bidi="en-US"/>
        </w:rPr>
        <w:t>家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  <w:t>。建议科工贸、住建局的统计工作重心放在培育规上企业的工作措施上来，这是支撑经济发展最有力的保障。</w:t>
      </w:r>
    </w:p>
    <w:p>
      <w:pPr>
        <w:spacing w:line="560" w:lineRule="exact"/>
        <w:ind w:firstLine="643" w:firstLineChars="200"/>
        <w:rPr>
          <w:rFonts w:hint="default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en-US"/>
        </w:rPr>
        <w:t>固定资产投资方面。</w:t>
      </w:r>
      <w:r>
        <w:rPr>
          <w:rFonts w:hint="eastAsia" w:ascii="仿宋_GB2312" w:hAnsi="Cambria" w:eastAsia="仿宋_GB2312"/>
          <w:color w:val="000000"/>
          <w:kern w:val="0"/>
          <w:sz w:val="32"/>
          <w:szCs w:val="32"/>
          <w:lang w:val="en-US" w:eastAsia="zh-CN" w:bidi="en-US"/>
        </w:rPr>
        <w:t>因现行400万元以下项目，可不采取公开招投标方式招标。目前，各部门在项目立项时均以400万元立项建设项目，而固定资产投资统计口径是500万元以上。一季度，全县500-5000万元项目同比下降明显，今后将出现无项目统计的局面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融水苗族自治县统计局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  2021年4月26日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2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23"/>
          <w:sz w:val="31"/>
          <w:szCs w:val="31"/>
          <w:shd w:val="clear" w:fill="FFFFFF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D1554"/>
    <w:rsid w:val="000F2AA5"/>
    <w:rsid w:val="002524DF"/>
    <w:rsid w:val="00261541"/>
    <w:rsid w:val="00466380"/>
    <w:rsid w:val="00684966"/>
    <w:rsid w:val="00696A93"/>
    <w:rsid w:val="00850402"/>
    <w:rsid w:val="008854F1"/>
    <w:rsid w:val="008D590D"/>
    <w:rsid w:val="00B32CC0"/>
    <w:rsid w:val="00B50265"/>
    <w:rsid w:val="00C71CB8"/>
    <w:rsid w:val="00DC1671"/>
    <w:rsid w:val="00ED1554"/>
    <w:rsid w:val="00F337A6"/>
    <w:rsid w:val="00FA2044"/>
    <w:rsid w:val="07AC297B"/>
    <w:rsid w:val="07F7290D"/>
    <w:rsid w:val="160C3DAF"/>
    <w:rsid w:val="160C7A1D"/>
    <w:rsid w:val="17EC1CC5"/>
    <w:rsid w:val="204566F8"/>
    <w:rsid w:val="218C5FFA"/>
    <w:rsid w:val="2F041FEE"/>
    <w:rsid w:val="31E31DEE"/>
    <w:rsid w:val="43675873"/>
    <w:rsid w:val="44666B2D"/>
    <w:rsid w:val="45591758"/>
    <w:rsid w:val="46C71FB0"/>
    <w:rsid w:val="49BF28F7"/>
    <w:rsid w:val="4C6C72F5"/>
    <w:rsid w:val="5595533A"/>
    <w:rsid w:val="59011AAD"/>
    <w:rsid w:val="5C865A32"/>
    <w:rsid w:val="5F200251"/>
    <w:rsid w:val="6E8B0A3D"/>
    <w:rsid w:val="706942A5"/>
    <w:rsid w:val="7B45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6"/>
    <w:basedOn w:val="5"/>
    <w:qFormat/>
    <w:uiPriority w:val="0"/>
    <w:rPr>
      <w:rFonts w:hint="eastAsia" w:ascii="仿宋_GB2312" w:eastAsia="仿宋_GB2312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741</Characters>
  <Lines>6</Lines>
  <Paragraphs>1</Paragraphs>
  <TotalTime>2</TotalTime>
  <ScaleCrop>false</ScaleCrop>
  <LinksUpToDate>false</LinksUpToDate>
  <CharactersWithSpaces>869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2021-01-07T06:37:00Z</dcterms:created>
  <dc:creator>lenovo</dc:creator>
  <cp:lastModifiedBy>lenovo</cp:lastModifiedBy>
  <cp:lastPrinted>2021-04-27T01:50:00Z</cp:lastPrinted>
  <dcterms:modified xsi:type="dcterms:W3CDTF">2021-04-27T03:57:04Z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602170F99D3C466FB75DEDB53C4DA592</vt:lpwstr>
  </property>
</Properties>
</file>